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D4463" w14:textId="77777777" w:rsidR="00BF42D7" w:rsidRPr="00940CFD" w:rsidRDefault="00BF42D7" w:rsidP="00BF42D7">
      <w:pPr>
        <w:keepNext/>
        <w:numPr>
          <w:ilvl w:val="12"/>
          <w:numId w:val="0"/>
        </w:numPr>
        <w:rPr>
          <w:lang w:val="fr-FR"/>
        </w:rPr>
      </w:pPr>
      <w:bookmarkStart w:id="0" w:name="_GoBack"/>
      <w:bookmarkEnd w:id="0"/>
    </w:p>
    <w:p w14:paraId="195566A7" w14:textId="1DEAF077" w:rsidR="00BF42D7" w:rsidRPr="00940CFD" w:rsidRDefault="00BF42D7" w:rsidP="00BF42D7">
      <w:pPr>
        <w:keepNext/>
        <w:keepLines/>
        <w:pBdr>
          <w:top w:val="single" w:sz="4" w:space="1" w:color="auto"/>
          <w:left w:val="single" w:sz="4" w:space="0" w:color="auto"/>
          <w:bottom w:val="single" w:sz="4" w:space="1" w:color="auto"/>
          <w:right w:val="single" w:sz="4" w:space="4" w:color="auto"/>
          <w:between w:val="single" w:sz="4" w:space="1" w:color="auto"/>
        </w:pBdr>
        <w:jc w:val="center"/>
        <w:rPr>
          <w:b/>
          <w:lang w:val="fr-FR"/>
        </w:rPr>
      </w:pPr>
      <w:r w:rsidRPr="00940CFD">
        <w:rPr>
          <w:b/>
          <w:lang w:val="fr-FR"/>
        </w:rPr>
        <w:t>Termes de Références (TDR) pour le rec</w:t>
      </w:r>
      <w:r w:rsidR="00334E7F">
        <w:rPr>
          <w:b/>
          <w:lang w:val="fr-FR"/>
        </w:rPr>
        <w:t xml:space="preserve">rutement </w:t>
      </w:r>
      <w:r w:rsidR="00334E7F" w:rsidRPr="00DF6543">
        <w:rPr>
          <w:b/>
          <w:lang w:val="fr-FR"/>
        </w:rPr>
        <w:t xml:space="preserve">des consultants individuels </w:t>
      </w:r>
      <w:r w:rsidR="00DF6543" w:rsidRPr="00DF6543">
        <w:rPr>
          <w:b/>
          <w:lang w:val="fr-FR"/>
        </w:rPr>
        <w:t xml:space="preserve"> chargés de la supervision </w:t>
      </w:r>
      <w:r w:rsidRPr="00DF6543">
        <w:rPr>
          <w:b/>
          <w:lang w:val="fr-FR"/>
        </w:rPr>
        <w:t xml:space="preserve">des enquêtes dans le cadre de </w:t>
      </w:r>
      <w:r w:rsidR="00DF6543" w:rsidRPr="00DF6543">
        <w:rPr>
          <w:b/>
          <w:lang w:val="fr-FR"/>
        </w:rPr>
        <w:t xml:space="preserve">la </w:t>
      </w:r>
      <w:proofErr w:type="spellStart"/>
      <w:r w:rsidR="00DF6543" w:rsidRPr="00DF6543">
        <w:rPr>
          <w:b/>
          <w:lang w:val="fr-FR"/>
        </w:rPr>
        <w:t>recertification</w:t>
      </w:r>
      <w:proofErr w:type="spellEnd"/>
      <w:r w:rsidR="007C12E1" w:rsidRPr="00DF6543">
        <w:rPr>
          <w:b/>
          <w:lang w:val="fr-FR"/>
        </w:rPr>
        <w:t xml:space="preserve"> </w:t>
      </w:r>
      <w:r w:rsidR="00DF6543">
        <w:rPr>
          <w:b/>
          <w:lang w:val="fr-FR"/>
        </w:rPr>
        <w:t xml:space="preserve">des </w:t>
      </w:r>
      <w:r w:rsidR="00DF6543" w:rsidRPr="00DF6543">
        <w:rPr>
          <w:b/>
          <w:lang w:val="fr-FR"/>
        </w:rPr>
        <w:t>bénéficia</w:t>
      </w:r>
      <w:r w:rsidR="00DF6543">
        <w:rPr>
          <w:b/>
          <w:lang w:val="fr-FR"/>
        </w:rPr>
        <w:t>ires</w:t>
      </w:r>
      <w:r w:rsidR="00DF6543" w:rsidRPr="00DF6543">
        <w:rPr>
          <w:b/>
          <w:lang w:val="fr-FR"/>
        </w:rPr>
        <w:t xml:space="preserve"> </w:t>
      </w:r>
      <w:r w:rsidRPr="00DF6543">
        <w:rPr>
          <w:b/>
          <w:lang w:val="fr-FR"/>
        </w:rPr>
        <w:t>des transferts monétaires du projet de Protection Sociale du Fonds d’Intervention pour le Développement (FID)</w:t>
      </w:r>
    </w:p>
    <w:p w14:paraId="7C4FE297" w14:textId="77777777" w:rsidR="00BF42D7" w:rsidRPr="00940CFD" w:rsidRDefault="00BF42D7" w:rsidP="00BF42D7">
      <w:pPr>
        <w:pStyle w:val="Prrafodelista"/>
        <w:keepNext/>
        <w:keepLines/>
        <w:spacing w:before="200"/>
        <w:ind w:left="360"/>
        <w:rPr>
          <w:rFonts w:ascii="Times New Roman" w:hAnsi="Times New Roman"/>
          <w:b/>
          <w:sz w:val="22"/>
          <w:szCs w:val="22"/>
        </w:rPr>
      </w:pPr>
    </w:p>
    <w:p w14:paraId="1FB4B777" w14:textId="77777777" w:rsidR="00BF42D7" w:rsidRPr="00940CFD" w:rsidRDefault="00BF42D7" w:rsidP="00BF42D7">
      <w:pPr>
        <w:pStyle w:val="Prrafodelista"/>
        <w:keepNext/>
        <w:keepLines/>
        <w:numPr>
          <w:ilvl w:val="0"/>
          <w:numId w:val="1"/>
        </w:numPr>
        <w:spacing w:before="200"/>
        <w:rPr>
          <w:rFonts w:ascii="Times New Roman" w:hAnsi="Times New Roman"/>
          <w:b/>
          <w:sz w:val="22"/>
          <w:szCs w:val="22"/>
        </w:rPr>
      </w:pPr>
      <w:r w:rsidRPr="00940CFD">
        <w:rPr>
          <w:rFonts w:ascii="Times New Roman" w:hAnsi="Times New Roman"/>
          <w:b/>
          <w:sz w:val="22"/>
          <w:szCs w:val="22"/>
        </w:rPr>
        <w:t>Contexte</w:t>
      </w:r>
    </w:p>
    <w:p w14:paraId="72EF0667" w14:textId="77777777" w:rsidR="00BF42D7" w:rsidRPr="00940CFD" w:rsidRDefault="00BF42D7" w:rsidP="00BF42D7">
      <w:pPr>
        <w:jc w:val="both"/>
        <w:rPr>
          <w:sz w:val="22"/>
          <w:szCs w:val="22"/>
          <w:lang w:val="fr-FR"/>
        </w:rPr>
      </w:pPr>
    </w:p>
    <w:p w14:paraId="4A31AC39" w14:textId="77777777" w:rsidR="00DF6543" w:rsidRPr="00DF6543" w:rsidRDefault="00DF6543" w:rsidP="00DF6543">
      <w:pPr>
        <w:jc w:val="both"/>
        <w:rPr>
          <w:sz w:val="22"/>
          <w:szCs w:val="22"/>
          <w:lang w:val="fr-FR" w:eastAsia="es-ES"/>
        </w:rPr>
      </w:pPr>
      <w:r w:rsidRPr="00DF6543">
        <w:rPr>
          <w:sz w:val="22"/>
          <w:szCs w:val="22"/>
          <w:lang w:val="fr-FR" w:eastAsia="es-ES"/>
        </w:rPr>
        <w:t xml:space="preserve">La Banque Mondiale renforce son engagement dans la lutte contre la pauvreté et dans le développement de Madagascar en intensifiant son investissement dans le développement du capital humain et son engagement dans le secteur de la protection sociale. </w:t>
      </w:r>
    </w:p>
    <w:p w14:paraId="6EA8ECAF" w14:textId="77777777" w:rsidR="00DF6543" w:rsidRPr="00DF6543" w:rsidRDefault="00DF6543" w:rsidP="00DF6543">
      <w:pPr>
        <w:jc w:val="both"/>
        <w:rPr>
          <w:sz w:val="22"/>
          <w:szCs w:val="22"/>
          <w:lang w:val="fr-FR" w:eastAsia="es-ES"/>
        </w:rPr>
      </w:pPr>
      <w:r w:rsidRPr="00DF6543">
        <w:rPr>
          <w:sz w:val="22"/>
          <w:szCs w:val="22"/>
          <w:lang w:val="fr-FR" w:eastAsia="es-ES"/>
        </w:rPr>
        <w:t>Ainsi, la République de Madagascar a bénéficié d’un appui de la Banque Mondiale dans le cadre de la mise en place d’un programme de filets sociaux de sécurité (FSS). Ce Programme va bénéficier d’un fonds additionnel à partir de cette année 2019.</w:t>
      </w:r>
    </w:p>
    <w:p w14:paraId="618CD794" w14:textId="77777777" w:rsidR="00DF6543" w:rsidRPr="00DF6543" w:rsidRDefault="00DF6543" w:rsidP="00DF6543">
      <w:pPr>
        <w:jc w:val="both"/>
        <w:rPr>
          <w:sz w:val="22"/>
          <w:szCs w:val="22"/>
          <w:lang w:val="fr-FR" w:eastAsia="es-ES"/>
        </w:rPr>
      </w:pPr>
      <w:r w:rsidRPr="00DF6543">
        <w:rPr>
          <w:sz w:val="22"/>
          <w:szCs w:val="22"/>
          <w:lang w:val="fr-FR" w:eastAsia="es-ES"/>
        </w:rPr>
        <w:t>Le Transfert Monétaire pour le Développement Humain, une des composantes opérationnelles du FSS, est un transfert d’argent conditionnel qui cible les ménages les plus pauvres ayant des enfants âgés entre 0 et 10 ans et a comme objectifs spécifiques de leur fournir un supplément de revenu pour :</w:t>
      </w:r>
    </w:p>
    <w:p w14:paraId="73373915" w14:textId="77777777" w:rsidR="00DF6543" w:rsidRPr="00DF6543" w:rsidRDefault="00DF6543" w:rsidP="00DF6543">
      <w:pPr>
        <w:pStyle w:val="Paragraphedeliste"/>
        <w:numPr>
          <w:ilvl w:val="0"/>
          <w:numId w:val="16"/>
        </w:numPr>
        <w:spacing w:after="160" w:line="259" w:lineRule="auto"/>
        <w:contextualSpacing/>
        <w:jc w:val="both"/>
        <w:rPr>
          <w:sz w:val="22"/>
          <w:szCs w:val="22"/>
          <w:lang w:val="fr-FR" w:eastAsia="es-ES"/>
        </w:rPr>
      </w:pPr>
      <w:r w:rsidRPr="00DF6543">
        <w:rPr>
          <w:sz w:val="22"/>
          <w:szCs w:val="22"/>
          <w:lang w:val="fr-FR" w:eastAsia="es-ES"/>
        </w:rPr>
        <w:t xml:space="preserve">appuyer l’intégration des enfants de 6 à 10 ans dans le système scolaire, </w:t>
      </w:r>
    </w:p>
    <w:p w14:paraId="2895BF2F" w14:textId="77777777" w:rsidR="00DF6543" w:rsidRPr="00DF6543" w:rsidRDefault="00DF6543" w:rsidP="00DF6543">
      <w:pPr>
        <w:pStyle w:val="Paragraphedeliste"/>
        <w:numPr>
          <w:ilvl w:val="0"/>
          <w:numId w:val="16"/>
        </w:numPr>
        <w:spacing w:after="160" w:line="259" w:lineRule="auto"/>
        <w:contextualSpacing/>
        <w:jc w:val="both"/>
        <w:rPr>
          <w:sz w:val="22"/>
          <w:szCs w:val="22"/>
          <w:lang w:val="fr-FR" w:eastAsia="es-ES"/>
        </w:rPr>
      </w:pPr>
      <w:r w:rsidRPr="00DF6543">
        <w:rPr>
          <w:sz w:val="22"/>
          <w:szCs w:val="22"/>
          <w:lang w:val="fr-FR" w:eastAsia="es-ES"/>
        </w:rPr>
        <w:t xml:space="preserve">promouvoir l’amélioration de l’état nutritionnel des enfants de 0 à 5 ans. </w:t>
      </w:r>
    </w:p>
    <w:p w14:paraId="13D43EED" w14:textId="77777777" w:rsidR="00DF6543" w:rsidRPr="00DF6543" w:rsidRDefault="00DF6543" w:rsidP="00DF6543">
      <w:pPr>
        <w:jc w:val="both"/>
        <w:rPr>
          <w:sz w:val="22"/>
          <w:szCs w:val="22"/>
          <w:lang w:val="fr-FR" w:eastAsia="es-ES"/>
        </w:rPr>
      </w:pPr>
      <w:r w:rsidRPr="00DF6543">
        <w:rPr>
          <w:sz w:val="22"/>
          <w:szCs w:val="22"/>
          <w:lang w:val="fr-FR" w:eastAsia="es-ES"/>
        </w:rPr>
        <w:t xml:space="preserve">En 2014, la République de Madagascar a déjà bénéficié d’un appui de la Banque Mondiale dans le cadre du programme PURSAPS pour le financement du Transfert monétaire conditionnel (TMC) pour les ménages vulnérables ciblés dans le District de </w:t>
      </w:r>
      <w:proofErr w:type="spellStart"/>
      <w:r w:rsidRPr="00DF6543">
        <w:rPr>
          <w:sz w:val="22"/>
          <w:szCs w:val="22"/>
          <w:lang w:val="fr-FR" w:eastAsia="es-ES"/>
        </w:rPr>
        <w:t>Betafo</w:t>
      </w:r>
      <w:proofErr w:type="spellEnd"/>
    </w:p>
    <w:p w14:paraId="507EBD33" w14:textId="77777777" w:rsidR="00DF6543" w:rsidRDefault="00DF6543" w:rsidP="00DF6543">
      <w:pPr>
        <w:jc w:val="both"/>
        <w:rPr>
          <w:sz w:val="22"/>
          <w:szCs w:val="22"/>
          <w:lang w:val="fr-FR" w:eastAsia="es-ES"/>
        </w:rPr>
      </w:pPr>
      <w:r w:rsidRPr="00DF6543">
        <w:rPr>
          <w:sz w:val="22"/>
          <w:szCs w:val="22"/>
          <w:lang w:val="fr-FR" w:eastAsia="es-ES"/>
        </w:rPr>
        <w:t>En 2018, les mêmes bénéficiaires ont été basculés en TMDH dans le cadre du projet FSS pour continuer à bénéficier du transfert monétaire.</w:t>
      </w:r>
    </w:p>
    <w:p w14:paraId="09F6DB58" w14:textId="69539228" w:rsidR="002E29C0" w:rsidRPr="002E29C0" w:rsidRDefault="002E29C0" w:rsidP="002E29C0">
      <w:pPr>
        <w:jc w:val="both"/>
        <w:rPr>
          <w:sz w:val="22"/>
          <w:szCs w:val="22"/>
          <w:lang w:val="fr-FR" w:eastAsia="es-ES"/>
        </w:rPr>
      </w:pPr>
      <w:r w:rsidRPr="002E29C0">
        <w:rPr>
          <w:sz w:val="22"/>
          <w:szCs w:val="22"/>
          <w:lang w:val="fr-FR" w:eastAsia="es-ES"/>
        </w:rPr>
        <w:t>Actuellement, il est prévu, en vue de la mise en œuvre du FSS-FA2, de procéder à une re</w:t>
      </w:r>
      <w:r w:rsidR="00E47254">
        <w:rPr>
          <w:sz w:val="22"/>
          <w:szCs w:val="22"/>
          <w:lang w:val="fr-FR" w:eastAsia="es-ES"/>
        </w:rPr>
        <w:t xml:space="preserve"> </w:t>
      </w:r>
      <w:r w:rsidRPr="002E29C0">
        <w:rPr>
          <w:sz w:val="22"/>
          <w:szCs w:val="22"/>
          <w:lang w:val="fr-FR" w:eastAsia="es-ES"/>
        </w:rPr>
        <w:t xml:space="preserve">certification des ménages bénéficiaires TMDH dans 54 Fokontany compris dans 08 Communes dans le District de </w:t>
      </w:r>
      <w:proofErr w:type="spellStart"/>
      <w:r w:rsidRPr="002E29C0">
        <w:rPr>
          <w:sz w:val="22"/>
          <w:szCs w:val="22"/>
          <w:lang w:val="fr-FR" w:eastAsia="es-ES"/>
        </w:rPr>
        <w:t>Betafo</w:t>
      </w:r>
      <w:proofErr w:type="spellEnd"/>
      <w:r w:rsidRPr="002E29C0">
        <w:rPr>
          <w:sz w:val="22"/>
          <w:szCs w:val="22"/>
          <w:lang w:val="fr-FR" w:eastAsia="es-ES"/>
        </w:rPr>
        <w:t xml:space="preserve"> pour déterminer leur situation socio-économique après ces cinq années de transfert monétaire.</w:t>
      </w:r>
    </w:p>
    <w:p w14:paraId="314BACCD" w14:textId="461AEB36" w:rsidR="002E29C0" w:rsidRPr="002E29C0" w:rsidRDefault="002E29C0" w:rsidP="002E29C0">
      <w:pPr>
        <w:spacing w:line="259" w:lineRule="auto"/>
        <w:jc w:val="both"/>
        <w:rPr>
          <w:sz w:val="22"/>
          <w:szCs w:val="22"/>
          <w:lang w:val="fr-FR" w:eastAsia="es-ES"/>
        </w:rPr>
      </w:pPr>
      <w:r w:rsidRPr="002E29C0">
        <w:rPr>
          <w:sz w:val="22"/>
          <w:szCs w:val="22"/>
          <w:lang w:val="fr-FR" w:eastAsia="es-ES"/>
        </w:rPr>
        <w:t>La « re</w:t>
      </w:r>
      <w:r w:rsidR="00E47254">
        <w:rPr>
          <w:sz w:val="22"/>
          <w:szCs w:val="22"/>
          <w:lang w:val="fr-FR" w:eastAsia="es-ES"/>
        </w:rPr>
        <w:t xml:space="preserve"> </w:t>
      </w:r>
      <w:r w:rsidRPr="002E29C0">
        <w:rPr>
          <w:sz w:val="22"/>
          <w:szCs w:val="22"/>
          <w:lang w:val="fr-FR" w:eastAsia="es-ES"/>
        </w:rPr>
        <w:t>certification des bénéficiaires » est définie comme une démarche pour évaluer le niveau de vie des bénéficiaires TMDH à partir des scores qu’ils auront obtenu à l’issue de l’enquête. Elle permet de justifier la poursuite ou non des transferts à leur endroit tout en restant dans le programme et en bénéficiant pleinement des activités des mesures d’accompagnement.</w:t>
      </w:r>
    </w:p>
    <w:p w14:paraId="3F310B64" w14:textId="77777777" w:rsidR="002E29C0" w:rsidRPr="002E29C0" w:rsidRDefault="002E29C0" w:rsidP="002E29C0">
      <w:pPr>
        <w:spacing w:line="259" w:lineRule="auto"/>
        <w:rPr>
          <w:sz w:val="22"/>
          <w:szCs w:val="22"/>
          <w:lang w:val="fr-FR" w:eastAsia="es-ES"/>
        </w:rPr>
      </w:pPr>
      <w:r w:rsidRPr="002E29C0">
        <w:rPr>
          <w:sz w:val="22"/>
          <w:szCs w:val="22"/>
          <w:lang w:val="fr-FR" w:eastAsia="es-ES"/>
        </w:rPr>
        <w:t>Ainsi, l’objectif est de déterminer, selon certaines caractéristiques (économiques, éducation, sociodémographiques) et de leurs conditions de vie, ceux qui vont continuer à bénéficier du programme car ils sont considérés comme étant encore vulnérables et ceux qui ne vont plus recevoir de transfert.</w:t>
      </w:r>
    </w:p>
    <w:p w14:paraId="3E346E74" w14:textId="11BE58ED" w:rsidR="00494DD6" w:rsidRPr="00DF6543" w:rsidRDefault="00494DD6" w:rsidP="00DF6543">
      <w:pPr>
        <w:jc w:val="both"/>
        <w:rPr>
          <w:sz w:val="22"/>
          <w:szCs w:val="22"/>
          <w:lang w:val="fr-FR" w:eastAsia="es-ES"/>
        </w:rPr>
      </w:pPr>
      <w:r>
        <w:rPr>
          <w:sz w:val="22"/>
          <w:szCs w:val="22"/>
          <w:lang w:val="fr-FR" w:eastAsia="es-ES"/>
        </w:rPr>
        <w:t>La collecte des données en vue de cette re</w:t>
      </w:r>
      <w:r w:rsidR="00E47254">
        <w:rPr>
          <w:sz w:val="22"/>
          <w:szCs w:val="22"/>
          <w:lang w:val="fr-FR" w:eastAsia="es-ES"/>
        </w:rPr>
        <w:t xml:space="preserve"> </w:t>
      </w:r>
      <w:r>
        <w:rPr>
          <w:sz w:val="22"/>
          <w:szCs w:val="22"/>
          <w:lang w:val="fr-FR" w:eastAsia="es-ES"/>
        </w:rPr>
        <w:t>certification est confiée à un Cabinet d’enquête. Toutefois, vu le nombre de ménages bénéficiaires à enquêter et le délai réduit alloué à l’enquête, il est très difficile pour le FID d’assurer une supervision représentative et efficace des travaux de collecte de données effectuées par les enquêteurs du Cabinet de collecte.</w:t>
      </w:r>
    </w:p>
    <w:p w14:paraId="1BBA602C" w14:textId="3E210F0E" w:rsidR="007079E4" w:rsidRPr="007079E4" w:rsidRDefault="00494DD6" w:rsidP="007079E4">
      <w:pPr>
        <w:jc w:val="both"/>
        <w:rPr>
          <w:sz w:val="22"/>
          <w:szCs w:val="22"/>
          <w:lang w:val="fr-FR" w:eastAsia="es-ES"/>
        </w:rPr>
      </w:pPr>
      <w:r>
        <w:rPr>
          <w:sz w:val="22"/>
          <w:szCs w:val="22"/>
          <w:lang w:val="fr-FR" w:eastAsia="es-ES"/>
        </w:rPr>
        <w:t xml:space="preserve">Aussi, le FID a décidé de recourir à des consultants individuels pour l’appuyer à la supervision de l’enquête pour </w:t>
      </w:r>
      <w:r w:rsidR="0079612B">
        <w:rPr>
          <w:sz w:val="22"/>
          <w:szCs w:val="22"/>
          <w:lang w:val="fr-FR" w:eastAsia="es-ES"/>
        </w:rPr>
        <w:t xml:space="preserve">des meilleurs résultats en termes de qualité de données collectées. </w:t>
      </w:r>
      <w:r w:rsidR="007079E4" w:rsidRPr="007079E4">
        <w:rPr>
          <w:sz w:val="22"/>
          <w:szCs w:val="22"/>
          <w:lang w:val="fr-FR" w:eastAsia="es-ES"/>
        </w:rPr>
        <w:t xml:space="preserve">Les présents Termes de référence décrivent les objectifs et les activités attendus du consultant chargé de la </w:t>
      </w:r>
      <w:r w:rsidR="007079E4">
        <w:rPr>
          <w:sz w:val="22"/>
          <w:szCs w:val="22"/>
          <w:lang w:val="fr-FR" w:eastAsia="es-ES"/>
        </w:rPr>
        <w:t>supervision</w:t>
      </w:r>
      <w:r w:rsidR="007079E4" w:rsidRPr="007079E4">
        <w:rPr>
          <w:sz w:val="22"/>
          <w:szCs w:val="22"/>
          <w:lang w:val="fr-FR" w:eastAsia="es-ES"/>
        </w:rPr>
        <w:t xml:space="preserve"> </w:t>
      </w:r>
      <w:r w:rsidR="007079E4">
        <w:rPr>
          <w:sz w:val="22"/>
          <w:szCs w:val="22"/>
          <w:lang w:val="fr-FR" w:eastAsia="es-ES"/>
        </w:rPr>
        <w:t xml:space="preserve">de la collecte </w:t>
      </w:r>
      <w:r w:rsidR="007079E4" w:rsidRPr="007079E4">
        <w:rPr>
          <w:sz w:val="22"/>
          <w:szCs w:val="22"/>
          <w:lang w:val="fr-FR" w:eastAsia="es-ES"/>
        </w:rPr>
        <w:t>des</w:t>
      </w:r>
      <w:r w:rsidR="007079E4" w:rsidRPr="007079E4">
        <w:rPr>
          <w:rFonts w:ascii="Arial" w:hAnsi="Arial" w:cs="Arial"/>
          <w:lang w:val="fr-FR"/>
        </w:rPr>
        <w:t xml:space="preserve"> </w:t>
      </w:r>
      <w:r w:rsidR="007079E4" w:rsidRPr="007079E4">
        <w:rPr>
          <w:sz w:val="22"/>
          <w:szCs w:val="22"/>
          <w:lang w:val="fr-FR" w:eastAsia="es-ES"/>
        </w:rPr>
        <w:t>données nécessaires</w:t>
      </w:r>
      <w:r w:rsidR="007079E4">
        <w:rPr>
          <w:sz w:val="22"/>
          <w:szCs w:val="22"/>
          <w:lang w:val="fr-FR" w:eastAsia="es-ES"/>
        </w:rPr>
        <w:t xml:space="preserve"> effectuée par un cabinet de collecte en vue</w:t>
      </w:r>
      <w:r w:rsidR="007079E4" w:rsidRPr="007079E4">
        <w:rPr>
          <w:sz w:val="22"/>
          <w:szCs w:val="22"/>
          <w:lang w:val="fr-FR" w:eastAsia="es-ES"/>
        </w:rPr>
        <w:t xml:space="preserve"> </w:t>
      </w:r>
      <w:r w:rsidR="007079E4">
        <w:rPr>
          <w:sz w:val="22"/>
          <w:szCs w:val="22"/>
          <w:lang w:val="fr-FR" w:eastAsia="es-ES"/>
        </w:rPr>
        <w:t>de</w:t>
      </w:r>
      <w:r w:rsidR="007079E4" w:rsidRPr="007079E4">
        <w:rPr>
          <w:sz w:val="22"/>
          <w:szCs w:val="22"/>
          <w:lang w:val="fr-FR" w:eastAsia="es-ES"/>
        </w:rPr>
        <w:t xml:space="preserve"> la re-certification des ménages bénéficiaires du programme TMDH du district de  </w:t>
      </w:r>
      <w:proofErr w:type="spellStart"/>
      <w:r w:rsidR="007079E4" w:rsidRPr="007079E4">
        <w:rPr>
          <w:sz w:val="22"/>
          <w:szCs w:val="22"/>
          <w:lang w:val="fr-FR" w:eastAsia="es-ES"/>
        </w:rPr>
        <w:t>Betafo</w:t>
      </w:r>
      <w:proofErr w:type="spellEnd"/>
      <w:r w:rsidR="007079E4" w:rsidRPr="007079E4">
        <w:rPr>
          <w:sz w:val="22"/>
          <w:szCs w:val="22"/>
          <w:lang w:val="fr-FR" w:eastAsia="es-ES"/>
        </w:rPr>
        <w:t>.</w:t>
      </w:r>
    </w:p>
    <w:p w14:paraId="327B9ED2" w14:textId="77777777" w:rsidR="00BF42D7" w:rsidRDefault="00BF42D7" w:rsidP="00BF42D7">
      <w:pPr>
        <w:pStyle w:val="Prrafodelista"/>
        <w:keepNext/>
        <w:keepLines/>
        <w:spacing w:before="200"/>
        <w:ind w:left="360"/>
        <w:rPr>
          <w:rFonts w:ascii="Times New Roman" w:hAnsi="Times New Roman"/>
          <w:b/>
          <w:sz w:val="22"/>
          <w:szCs w:val="22"/>
        </w:rPr>
      </w:pPr>
    </w:p>
    <w:p w14:paraId="4B88B7C1" w14:textId="6D3291A3" w:rsidR="00BF42D7" w:rsidRPr="00055494" w:rsidRDefault="007079E4" w:rsidP="00BF42D7">
      <w:pPr>
        <w:pStyle w:val="Prrafodelista"/>
        <w:keepNext/>
        <w:keepLines/>
        <w:numPr>
          <w:ilvl w:val="0"/>
          <w:numId w:val="1"/>
        </w:numPr>
        <w:spacing w:before="200"/>
        <w:rPr>
          <w:rFonts w:ascii="Times New Roman" w:hAnsi="Times New Roman"/>
          <w:b/>
          <w:sz w:val="22"/>
          <w:szCs w:val="22"/>
        </w:rPr>
      </w:pPr>
      <w:r>
        <w:rPr>
          <w:rFonts w:ascii="Times New Roman" w:hAnsi="Times New Roman"/>
          <w:b/>
          <w:sz w:val="22"/>
          <w:szCs w:val="22"/>
        </w:rPr>
        <w:t>Objectif</w:t>
      </w:r>
      <w:r w:rsidR="00BF42D7" w:rsidRPr="00055494">
        <w:rPr>
          <w:rFonts w:ascii="Times New Roman" w:hAnsi="Times New Roman"/>
          <w:b/>
          <w:sz w:val="22"/>
          <w:szCs w:val="22"/>
        </w:rPr>
        <w:t xml:space="preserve"> de la mission </w:t>
      </w:r>
    </w:p>
    <w:p w14:paraId="725C6A54" w14:textId="77777777" w:rsidR="00BF42D7" w:rsidRPr="00940CFD" w:rsidRDefault="00BF42D7" w:rsidP="00BF42D7">
      <w:pPr>
        <w:pStyle w:val="Prrafodelista"/>
        <w:keepNext/>
        <w:keepLines/>
        <w:spacing w:before="200"/>
        <w:ind w:left="1080"/>
        <w:rPr>
          <w:rFonts w:ascii="Times New Roman" w:hAnsi="Times New Roman"/>
          <w:b/>
          <w:sz w:val="22"/>
          <w:szCs w:val="22"/>
        </w:rPr>
      </w:pPr>
    </w:p>
    <w:p w14:paraId="5E680B3B" w14:textId="6C0F6B92" w:rsidR="00BF42D7" w:rsidRDefault="007079E4" w:rsidP="00BF42D7">
      <w:pPr>
        <w:jc w:val="both"/>
        <w:rPr>
          <w:sz w:val="22"/>
          <w:szCs w:val="22"/>
          <w:lang w:val="fr-FR"/>
        </w:rPr>
      </w:pPr>
      <w:r>
        <w:rPr>
          <w:sz w:val="22"/>
          <w:szCs w:val="22"/>
          <w:lang w:val="fr-FR"/>
        </w:rPr>
        <w:t>L’</w:t>
      </w:r>
      <w:r w:rsidR="00BF42D7" w:rsidRPr="00940CFD">
        <w:rPr>
          <w:sz w:val="22"/>
          <w:szCs w:val="22"/>
          <w:lang w:val="fr-FR"/>
        </w:rPr>
        <w:t xml:space="preserve">objectif de la mission </w:t>
      </w:r>
      <w:r>
        <w:rPr>
          <w:sz w:val="22"/>
          <w:szCs w:val="22"/>
          <w:lang w:val="fr-FR"/>
        </w:rPr>
        <w:t>est d’a</w:t>
      </w:r>
      <w:r w:rsidRPr="007079E4">
        <w:rPr>
          <w:sz w:val="22"/>
          <w:szCs w:val="22"/>
          <w:lang w:val="fr-FR"/>
        </w:rPr>
        <w:t xml:space="preserve">ssurer la qualité des données collectées par un cabinet d’études auprès des ménages bénéficiaires dans la re-certification des ménages de </w:t>
      </w:r>
      <w:proofErr w:type="spellStart"/>
      <w:r w:rsidRPr="007079E4">
        <w:rPr>
          <w:sz w:val="22"/>
          <w:szCs w:val="22"/>
          <w:lang w:val="fr-FR"/>
        </w:rPr>
        <w:t>Betafo</w:t>
      </w:r>
      <w:proofErr w:type="spellEnd"/>
    </w:p>
    <w:p w14:paraId="0958C6BF" w14:textId="3C97FBF9" w:rsidR="00BF42D7" w:rsidRPr="00940CFD" w:rsidRDefault="007079E4" w:rsidP="00C70C12">
      <w:pPr>
        <w:pStyle w:val="Prrafodelista"/>
        <w:keepNext/>
        <w:keepLines/>
        <w:numPr>
          <w:ilvl w:val="0"/>
          <w:numId w:val="1"/>
        </w:numPr>
        <w:spacing w:before="200"/>
        <w:rPr>
          <w:rFonts w:ascii="Times New Roman" w:hAnsi="Times New Roman"/>
          <w:b/>
          <w:sz w:val="22"/>
          <w:szCs w:val="22"/>
        </w:rPr>
      </w:pPr>
      <w:r>
        <w:rPr>
          <w:rFonts w:ascii="Times New Roman" w:hAnsi="Times New Roman"/>
          <w:b/>
          <w:sz w:val="22"/>
          <w:szCs w:val="22"/>
        </w:rPr>
        <w:lastRenderedPageBreak/>
        <w:t>Description des tâches</w:t>
      </w:r>
    </w:p>
    <w:p w14:paraId="1C87DF8E" w14:textId="73C77E40" w:rsidR="007079E4" w:rsidRPr="007079E4" w:rsidRDefault="007079E4" w:rsidP="00C70C12">
      <w:pPr>
        <w:tabs>
          <w:tab w:val="left" w:pos="1030"/>
          <w:tab w:val="left" w:pos="5796"/>
          <w:tab w:val="left" w:pos="6987"/>
          <w:tab w:val="left" w:pos="8178"/>
          <w:tab w:val="left" w:pos="9369"/>
          <w:tab w:val="left" w:pos="10560"/>
          <w:tab w:val="left" w:pos="11747"/>
          <w:tab w:val="left" w:pos="12934"/>
        </w:tabs>
        <w:ind w:left="70"/>
        <w:jc w:val="both"/>
        <w:rPr>
          <w:sz w:val="22"/>
          <w:szCs w:val="22"/>
          <w:lang w:val="fr-FR"/>
        </w:rPr>
      </w:pPr>
      <w:r w:rsidRPr="007079E4">
        <w:rPr>
          <w:sz w:val="22"/>
          <w:szCs w:val="22"/>
          <w:lang w:val="fr-FR"/>
        </w:rPr>
        <w:t>Le consultant sera sous la supervision des cadres du FID, en étroite collaboration avec le statisticien-économiste recruté pour l'analyse par le FID. Il sera en charge d’assister le statisticien-économiste dans la supervision des interviews.</w:t>
      </w:r>
      <w:r>
        <w:rPr>
          <w:sz w:val="22"/>
          <w:szCs w:val="22"/>
          <w:lang w:val="fr-FR"/>
        </w:rPr>
        <w:t xml:space="preserve"> Les taches à confier au Consultant sont : </w:t>
      </w:r>
    </w:p>
    <w:p w14:paraId="2397FE10" w14:textId="77777777" w:rsidR="007079E4" w:rsidRPr="007079E4" w:rsidRDefault="007079E4" w:rsidP="00C70C12">
      <w:pPr>
        <w:pStyle w:val="Paragraphedeliste"/>
        <w:numPr>
          <w:ilvl w:val="0"/>
          <w:numId w:val="17"/>
        </w:numPr>
        <w:tabs>
          <w:tab w:val="left" w:pos="1030"/>
          <w:tab w:val="left" w:pos="10560"/>
          <w:tab w:val="left" w:pos="11747"/>
          <w:tab w:val="left" w:pos="12934"/>
        </w:tabs>
        <w:jc w:val="both"/>
        <w:rPr>
          <w:sz w:val="22"/>
          <w:szCs w:val="22"/>
          <w:lang w:val="fr-FR"/>
        </w:rPr>
      </w:pPr>
      <w:r w:rsidRPr="007079E4">
        <w:rPr>
          <w:sz w:val="22"/>
          <w:szCs w:val="22"/>
          <w:lang w:val="fr-FR"/>
        </w:rPr>
        <w:t>Vérifier la validité et la cohérence des données déjà collectées sur tablette.</w:t>
      </w:r>
    </w:p>
    <w:p w14:paraId="18FA7D7D" w14:textId="77777777" w:rsidR="007079E4" w:rsidRPr="007079E4" w:rsidRDefault="007079E4" w:rsidP="00C70C12">
      <w:pPr>
        <w:pStyle w:val="Paragraphedeliste"/>
        <w:numPr>
          <w:ilvl w:val="0"/>
          <w:numId w:val="17"/>
        </w:numPr>
        <w:tabs>
          <w:tab w:val="left" w:pos="1030"/>
          <w:tab w:val="left" w:pos="4605"/>
          <w:tab w:val="left" w:pos="6987"/>
          <w:tab w:val="left" w:pos="8178"/>
          <w:tab w:val="left" w:pos="9369"/>
          <w:tab w:val="left" w:pos="10560"/>
          <w:tab w:val="left" w:pos="11747"/>
          <w:tab w:val="left" w:pos="12934"/>
        </w:tabs>
        <w:jc w:val="both"/>
        <w:rPr>
          <w:sz w:val="22"/>
          <w:szCs w:val="22"/>
          <w:lang w:val="fr-FR"/>
        </w:rPr>
      </w:pPr>
      <w:r w:rsidRPr="007079E4">
        <w:rPr>
          <w:sz w:val="22"/>
          <w:szCs w:val="22"/>
          <w:lang w:val="fr-FR"/>
        </w:rPr>
        <w:t>Détecter et signaler au cabinet de collecte les valeurs aberrantes, les valeurs manquantes.</w:t>
      </w:r>
    </w:p>
    <w:p w14:paraId="5CACD76F" w14:textId="77777777" w:rsidR="007079E4" w:rsidRPr="007079E4" w:rsidRDefault="007079E4" w:rsidP="00C70C12">
      <w:pPr>
        <w:pStyle w:val="Paragraphedeliste"/>
        <w:numPr>
          <w:ilvl w:val="0"/>
          <w:numId w:val="17"/>
        </w:numPr>
        <w:tabs>
          <w:tab w:val="left" w:pos="12934"/>
        </w:tabs>
        <w:jc w:val="both"/>
        <w:rPr>
          <w:sz w:val="22"/>
          <w:szCs w:val="22"/>
          <w:lang w:val="fr-FR"/>
        </w:rPr>
      </w:pPr>
      <w:r w:rsidRPr="007079E4">
        <w:rPr>
          <w:sz w:val="22"/>
          <w:szCs w:val="22"/>
          <w:lang w:val="fr-FR"/>
        </w:rPr>
        <w:t>Conduire des contre-interviews auprès des ménages déjà interviewés afin de contrôler les réponses déjà obtenues. Vérifier quelques variables-clé au niveau des ménages visités.</w:t>
      </w:r>
    </w:p>
    <w:p w14:paraId="1C38684D" w14:textId="77777777" w:rsidR="007079E4" w:rsidRDefault="007079E4" w:rsidP="00C70C12">
      <w:pPr>
        <w:pStyle w:val="Paragraphedeliste"/>
        <w:numPr>
          <w:ilvl w:val="0"/>
          <w:numId w:val="17"/>
        </w:numPr>
        <w:tabs>
          <w:tab w:val="left" w:pos="1030"/>
          <w:tab w:val="left" w:pos="2222"/>
          <w:tab w:val="left" w:pos="3414"/>
          <w:tab w:val="left" w:pos="4605"/>
          <w:tab w:val="left" w:pos="5796"/>
          <w:tab w:val="left" w:pos="6987"/>
          <w:tab w:val="left" w:pos="8178"/>
          <w:tab w:val="left" w:pos="9369"/>
          <w:tab w:val="left" w:pos="10560"/>
          <w:tab w:val="left" w:pos="11747"/>
          <w:tab w:val="left" w:pos="12934"/>
        </w:tabs>
        <w:jc w:val="both"/>
        <w:rPr>
          <w:sz w:val="22"/>
          <w:szCs w:val="22"/>
          <w:lang w:val="fr-FR"/>
        </w:rPr>
      </w:pPr>
      <w:r w:rsidRPr="007079E4">
        <w:rPr>
          <w:sz w:val="22"/>
          <w:szCs w:val="22"/>
          <w:lang w:val="fr-FR"/>
        </w:rPr>
        <w:t xml:space="preserve">S'assurer que les interviews ont été effectivement bien menées ; </w:t>
      </w:r>
    </w:p>
    <w:p w14:paraId="73F252E6" w14:textId="77777777" w:rsidR="002567CA" w:rsidRDefault="002567CA" w:rsidP="00C70C12">
      <w:pPr>
        <w:pStyle w:val="Paragraphedeliste"/>
        <w:numPr>
          <w:ilvl w:val="0"/>
          <w:numId w:val="17"/>
        </w:numPr>
        <w:tabs>
          <w:tab w:val="left" w:pos="1030"/>
          <w:tab w:val="left" w:pos="2222"/>
          <w:tab w:val="left" w:pos="3414"/>
          <w:tab w:val="left" w:pos="4605"/>
          <w:tab w:val="left" w:pos="5796"/>
          <w:tab w:val="left" w:pos="6987"/>
          <w:tab w:val="left" w:pos="8178"/>
          <w:tab w:val="left" w:pos="9369"/>
          <w:tab w:val="left" w:pos="10560"/>
          <w:tab w:val="left" w:pos="11747"/>
          <w:tab w:val="left" w:pos="12934"/>
        </w:tabs>
        <w:jc w:val="both"/>
        <w:rPr>
          <w:sz w:val="22"/>
          <w:szCs w:val="22"/>
          <w:lang w:val="fr-FR"/>
        </w:rPr>
      </w:pPr>
      <w:r>
        <w:rPr>
          <w:sz w:val="22"/>
          <w:szCs w:val="22"/>
          <w:lang w:val="fr-FR"/>
        </w:rPr>
        <w:t>S</w:t>
      </w:r>
      <w:r w:rsidR="007079E4" w:rsidRPr="007079E4">
        <w:rPr>
          <w:sz w:val="22"/>
          <w:szCs w:val="22"/>
          <w:lang w:val="fr-FR"/>
        </w:rPr>
        <w:t xml:space="preserve">'assurer du respect des protocoles indiqués par le FID ; </w:t>
      </w:r>
    </w:p>
    <w:p w14:paraId="6DD1B1E9" w14:textId="2F4E3960" w:rsidR="007079E4" w:rsidRPr="007079E4" w:rsidRDefault="001938C8" w:rsidP="00C70C12">
      <w:pPr>
        <w:pStyle w:val="Paragraphedeliste"/>
        <w:numPr>
          <w:ilvl w:val="0"/>
          <w:numId w:val="17"/>
        </w:numPr>
        <w:tabs>
          <w:tab w:val="left" w:pos="1030"/>
          <w:tab w:val="left" w:pos="2222"/>
          <w:tab w:val="left" w:pos="3414"/>
          <w:tab w:val="left" w:pos="4605"/>
          <w:tab w:val="left" w:pos="5796"/>
          <w:tab w:val="left" w:pos="6987"/>
          <w:tab w:val="left" w:pos="8178"/>
          <w:tab w:val="left" w:pos="9369"/>
          <w:tab w:val="left" w:pos="10560"/>
          <w:tab w:val="left" w:pos="11747"/>
          <w:tab w:val="left" w:pos="12934"/>
        </w:tabs>
        <w:jc w:val="both"/>
        <w:rPr>
          <w:sz w:val="22"/>
          <w:szCs w:val="22"/>
          <w:lang w:val="fr-FR"/>
        </w:rPr>
      </w:pPr>
      <w:r>
        <w:rPr>
          <w:sz w:val="22"/>
          <w:szCs w:val="22"/>
          <w:lang w:val="fr-FR"/>
        </w:rPr>
        <w:t>S’enquérir</w:t>
      </w:r>
      <w:r w:rsidR="00B175D9">
        <w:rPr>
          <w:sz w:val="22"/>
          <w:szCs w:val="22"/>
          <w:lang w:val="fr-FR"/>
        </w:rPr>
        <w:t xml:space="preserve"> que les </w:t>
      </w:r>
      <w:r w:rsidR="008C4C06" w:rsidRPr="007079E4">
        <w:rPr>
          <w:sz w:val="22"/>
          <w:szCs w:val="22"/>
          <w:lang w:val="fr-FR"/>
        </w:rPr>
        <w:t>Assemblée</w:t>
      </w:r>
      <w:r w:rsidR="00B175D9">
        <w:rPr>
          <w:sz w:val="22"/>
          <w:szCs w:val="22"/>
          <w:lang w:val="fr-FR"/>
        </w:rPr>
        <w:t>s</w:t>
      </w:r>
      <w:r w:rsidR="002567CA">
        <w:rPr>
          <w:sz w:val="22"/>
          <w:szCs w:val="22"/>
          <w:lang w:val="fr-FR"/>
        </w:rPr>
        <w:t xml:space="preserve"> G</w:t>
      </w:r>
      <w:r w:rsidR="007079E4" w:rsidRPr="007079E4">
        <w:rPr>
          <w:sz w:val="22"/>
          <w:szCs w:val="22"/>
          <w:lang w:val="fr-FR"/>
        </w:rPr>
        <w:t>énérale</w:t>
      </w:r>
      <w:r w:rsidR="00B175D9">
        <w:rPr>
          <w:sz w:val="22"/>
          <w:szCs w:val="22"/>
          <w:lang w:val="fr-FR"/>
        </w:rPr>
        <w:t>s avec l</w:t>
      </w:r>
      <w:r w:rsidR="007079E4" w:rsidRPr="007079E4">
        <w:rPr>
          <w:sz w:val="22"/>
          <w:szCs w:val="22"/>
          <w:lang w:val="fr-FR"/>
        </w:rPr>
        <w:t xml:space="preserve">es bénéficiaires </w:t>
      </w:r>
      <w:r w:rsidR="002567CA">
        <w:rPr>
          <w:sz w:val="22"/>
          <w:szCs w:val="22"/>
          <w:lang w:val="fr-FR"/>
        </w:rPr>
        <w:t>organisée</w:t>
      </w:r>
      <w:r w:rsidR="00B175D9">
        <w:rPr>
          <w:sz w:val="22"/>
          <w:szCs w:val="22"/>
          <w:lang w:val="fr-FR"/>
        </w:rPr>
        <w:t>s</w:t>
      </w:r>
      <w:r w:rsidR="002567CA">
        <w:rPr>
          <w:sz w:val="22"/>
          <w:szCs w:val="22"/>
          <w:lang w:val="fr-FR"/>
        </w:rPr>
        <w:t xml:space="preserve"> par le Cabinet de collecte</w:t>
      </w:r>
      <w:r w:rsidR="00B175D9">
        <w:rPr>
          <w:sz w:val="22"/>
          <w:szCs w:val="22"/>
          <w:lang w:val="fr-FR"/>
        </w:rPr>
        <w:t xml:space="preserve"> ont eu lieu et y assister autant que possible</w:t>
      </w:r>
      <w:r w:rsidR="007079E4" w:rsidRPr="007079E4">
        <w:rPr>
          <w:sz w:val="22"/>
          <w:szCs w:val="22"/>
          <w:lang w:val="fr-FR"/>
        </w:rPr>
        <w:t>; contacts avec les personnes ressources : ML, CPS, etc.</w:t>
      </w:r>
    </w:p>
    <w:p w14:paraId="20A329C3" w14:textId="77777777" w:rsidR="007079E4" w:rsidRPr="007079E4" w:rsidRDefault="007079E4" w:rsidP="00C70C12">
      <w:pPr>
        <w:pStyle w:val="Paragraphedeliste"/>
        <w:numPr>
          <w:ilvl w:val="0"/>
          <w:numId w:val="17"/>
        </w:numPr>
        <w:tabs>
          <w:tab w:val="left" w:pos="6987"/>
          <w:tab w:val="left" w:pos="8178"/>
          <w:tab w:val="left" w:pos="9369"/>
          <w:tab w:val="left" w:pos="10560"/>
          <w:tab w:val="left" w:pos="11747"/>
          <w:tab w:val="left" w:pos="12934"/>
        </w:tabs>
        <w:jc w:val="both"/>
        <w:rPr>
          <w:sz w:val="22"/>
          <w:szCs w:val="22"/>
          <w:lang w:val="fr-FR"/>
        </w:rPr>
      </w:pPr>
      <w:r w:rsidRPr="007079E4">
        <w:rPr>
          <w:sz w:val="22"/>
          <w:szCs w:val="22"/>
          <w:lang w:val="fr-FR"/>
        </w:rPr>
        <w:t>Identifier les lacunes pour chaque enquêteur, chaque équipe</w:t>
      </w:r>
    </w:p>
    <w:p w14:paraId="2E85E9E5" w14:textId="77777777" w:rsidR="007079E4" w:rsidRPr="007079E4" w:rsidRDefault="007079E4" w:rsidP="00C70C12">
      <w:pPr>
        <w:pStyle w:val="Paragraphedeliste"/>
        <w:numPr>
          <w:ilvl w:val="0"/>
          <w:numId w:val="17"/>
        </w:numPr>
        <w:tabs>
          <w:tab w:val="left" w:pos="10560"/>
          <w:tab w:val="left" w:pos="11747"/>
          <w:tab w:val="left" w:pos="12934"/>
        </w:tabs>
        <w:jc w:val="both"/>
        <w:rPr>
          <w:sz w:val="22"/>
          <w:szCs w:val="22"/>
          <w:lang w:val="fr-FR"/>
        </w:rPr>
      </w:pPr>
      <w:r w:rsidRPr="007079E4">
        <w:rPr>
          <w:sz w:val="22"/>
          <w:szCs w:val="22"/>
          <w:lang w:val="fr-FR"/>
        </w:rPr>
        <w:t>Identifier les points du questionnaire qui auraient été mal compris par les agents de terrain</w:t>
      </w:r>
    </w:p>
    <w:p w14:paraId="626AB7AD" w14:textId="77777777" w:rsidR="007079E4" w:rsidRPr="007079E4" w:rsidRDefault="007079E4" w:rsidP="00C70C12">
      <w:pPr>
        <w:pStyle w:val="Paragraphedeliste"/>
        <w:numPr>
          <w:ilvl w:val="0"/>
          <w:numId w:val="17"/>
        </w:numPr>
        <w:tabs>
          <w:tab w:val="left" w:pos="5796"/>
          <w:tab w:val="left" w:pos="6987"/>
          <w:tab w:val="left" w:pos="8178"/>
          <w:tab w:val="left" w:pos="9369"/>
          <w:tab w:val="left" w:pos="10560"/>
          <w:tab w:val="left" w:pos="11747"/>
          <w:tab w:val="left" w:pos="12934"/>
        </w:tabs>
        <w:jc w:val="both"/>
        <w:rPr>
          <w:sz w:val="22"/>
          <w:szCs w:val="22"/>
          <w:lang w:val="fr-FR"/>
        </w:rPr>
      </w:pPr>
      <w:r w:rsidRPr="007079E4">
        <w:rPr>
          <w:sz w:val="22"/>
          <w:szCs w:val="22"/>
          <w:lang w:val="fr-FR"/>
        </w:rPr>
        <w:t>Faire un débriefing au niveau de chaque équipe visitée</w:t>
      </w:r>
    </w:p>
    <w:p w14:paraId="33155E9C" w14:textId="77777777" w:rsidR="007079E4" w:rsidRPr="007079E4" w:rsidRDefault="007079E4" w:rsidP="00C70C12">
      <w:pPr>
        <w:pStyle w:val="Paragraphedeliste"/>
        <w:numPr>
          <w:ilvl w:val="0"/>
          <w:numId w:val="17"/>
        </w:numPr>
        <w:tabs>
          <w:tab w:val="left" w:pos="12934"/>
        </w:tabs>
        <w:jc w:val="both"/>
        <w:rPr>
          <w:sz w:val="22"/>
          <w:szCs w:val="22"/>
          <w:lang w:val="fr-FR"/>
        </w:rPr>
      </w:pPr>
      <w:r w:rsidRPr="007079E4">
        <w:rPr>
          <w:sz w:val="22"/>
          <w:szCs w:val="22"/>
          <w:lang w:val="fr-FR"/>
        </w:rPr>
        <w:t>Transmettre les recommandations du statisticien-économiste aux équipes / enquêteurs concernés à propos des questionnaires déjà remplis.</w:t>
      </w:r>
    </w:p>
    <w:p w14:paraId="55DB5CB0" w14:textId="27AE97F2" w:rsidR="007079E4" w:rsidRPr="007079E4" w:rsidRDefault="007079E4" w:rsidP="00C70C12">
      <w:pPr>
        <w:pStyle w:val="Paragraphedeliste"/>
        <w:numPr>
          <w:ilvl w:val="0"/>
          <w:numId w:val="17"/>
        </w:numPr>
        <w:tabs>
          <w:tab w:val="left" w:pos="9369"/>
          <w:tab w:val="left" w:pos="10560"/>
          <w:tab w:val="left" w:pos="11747"/>
          <w:tab w:val="left" w:pos="12934"/>
        </w:tabs>
        <w:jc w:val="both"/>
        <w:rPr>
          <w:sz w:val="22"/>
          <w:szCs w:val="22"/>
          <w:lang w:val="fr-FR"/>
        </w:rPr>
      </w:pPr>
      <w:r w:rsidRPr="007079E4">
        <w:rPr>
          <w:sz w:val="22"/>
          <w:szCs w:val="22"/>
          <w:lang w:val="fr-FR"/>
        </w:rPr>
        <w:t xml:space="preserve">Formuler des recommandations aux </w:t>
      </w:r>
      <w:r w:rsidR="00E47254" w:rsidRPr="00E47254">
        <w:rPr>
          <w:sz w:val="22"/>
          <w:szCs w:val="22"/>
          <w:highlight w:val="lightGray"/>
          <w:lang w:val="fr-FR"/>
        </w:rPr>
        <w:t>superviseurs</w:t>
      </w:r>
      <w:r w:rsidRPr="007079E4">
        <w:rPr>
          <w:sz w:val="22"/>
          <w:szCs w:val="22"/>
          <w:lang w:val="fr-FR"/>
        </w:rPr>
        <w:t xml:space="preserve"> du cabinet de collecte pour les interviews restants.</w:t>
      </w:r>
    </w:p>
    <w:p w14:paraId="5B7FB9DB" w14:textId="2D9B164E" w:rsidR="007079E4" w:rsidRDefault="00F82392" w:rsidP="00C70C12">
      <w:pPr>
        <w:pStyle w:val="Paragraphedeliste"/>
        <w:numPr>
          <w:ilvl w:val="0"/>
          <w:numId w:val="17"/>
        </w:numPr>
        <w:tabs>
          <w:tab w:val="left" w:pos="9369"/>
          <w:tab w:val="left" w:pos="10560"/>
          <w:tab w:val="left" w:pos="11747"/>
          <w:tab w:val="left" w:pos="12934"/>
        </w:tabs>
        <w:jc w:val="both"/>
        <w:rPr>
          <w:sz w:val="22"/>
          <w:szCs w:val="22"/>
          <w:lang w:val="fr-FR"/>
        </w:rPr>
      </w:pPr>
      <w:r>
        <w:rPr>
          <w:sz w:val="22"/>
          <w:szCs w:val="22"/>
          <w:lang w:val="fr-FR"/>
        </w:rPr>
        <w:t>S’enquérir de la situation de la transmission des données sur</w:t>
      </w:r>
      <w:r w:rsidR="007079E4" w:rsidRPr="007079E4">
        <w:rPr>
          <w:sz w:val="22"/>
          <w:szCs w:val="22"/>
          <w:lang w:val="fr-FR"/>
        </w:rPr>
        <w:t xml:space="preserve"> les interviews déjà réalisées au statisticien-économiste</w:t>
      </w:r>
    </w:p>
    <w:p w14:paraId="42D4693C" w14:textId="77777777" w:rsidR="00C70C12" w:rsidRDefault="00C70C12" w:rsidP="00C70C12">
      <w:pPr>
        <w:rPr>
          <w:sz w:val="22"/>
          <w:szCs w:val="22"/>
          <w:highlight w:val="lightGray"/>
          <w:lang w:val="fr-FR"/>
        </w:rPr>
      </w:pPr>
    </w:p>
    <w:p w14:paraId="290EDCEB" w14:textId="23851070" w:rsidR="00E47254" w:rsidRDefault="00C70C12" w:rsidP="00C70C12">
      <w:pPr>
        <w:rPr>
          <w:sz w:val="22"/>
          <w:szCs w:val="22"/>
          <w:highlight w:val="lightGray"/>
          <w:lang w:val="fr-FR"/>
        </w:rPr>
      </w:pPr>
      <w:r>
        <w:rPr>
          <w:sz w:val="22"/>
          <w:szCs w:val="22"/>
          <w:highlight w:val="lightGray"/>
          <w:lang w:val="fr-FR"/>
        </w:rPr>
        <w:t>En plus, le</w:t>
      </w:r>
      <w:r w:rsidR="00F27BFC" w:rsidRPr="00E47254">
        <w:rPr>
          <w:sz w:val="22"/>
          <w:szCs w:val="22"/>
          <w:highlight w:val="lightGray"/>
          <w:lang w:val="fr-FR"/>
        </w:rPr>
        <w:t xml:space="preserve"> consultant</w:t>
      </w:r>
      <w:r w:rsidR="00E47254">
        <w:rPr>
          <w:sz w:val="22"/>
          <w:szCs w:val="22"/>
          <w:highlight w:val="lightGray"/>
          <w:lang w:val="fr-FR"/>
        </w:rPr>
        <w:t> :</w:t>
      </w:r>
    </w:p>
    <w:p w14:paraId="127C8E5E" w14:textId="45B5D447" w:rsidR="00F27BFC" w:rsidRPr="00C70C12" w:rsidRDefault="00C70C12" w:rsidP="00C70C12">
      <w:pPr>
        <w:pStyle w:val="Paragraphedeliste"/>
        <w:numPr>
          <w:ilvl w:val="0"/>
          <w:numId w:val="17"/>
        </w:numPr>
        <w:tabs>
          <w:tab w:val="left" w:pos="9369"/>
          <w:tab w:val="left" w:pos="10560"/>
          <w:tab w:val="left" w:pos="11747"/>
          <w:tab w:val="left" w:pos="12934"/>
        </w:tabs>
        <w:ind w:left="788" w:hanging="357"/>
        <w:jc w:val="both"/>
        <w:rPr>
          <w:sz w:val="22"/>
          <w:szCs w:val="22"/>
          <w:highlight w:val="lightGray"/>
          <w:lang w:val="fr-FR"/>
        </w:rPr>
      </w:pPr>
      <w:r w:rsidRPr="00C70C12">
        <w:rPr>
          <w:sz w:val="22"/>
          <w:szCs w:val="22"/>
          <w:highlight w:val="lightGray"/>
          <w:lang w:val="fr-FR"/>
        </w:rPr>
        <w:t>Suivra</w:t>
      </w:r>
      <w:r w:rsidR="00F27BFC" w:rsidRPr="00C70C12">
        <w:rPr>
          <w:sz w:val="22"/>
          <w:szCs w:val="22"/>
          <w:highlight w:val="lightGray"/>
          <w:lang w:val="fr-FR"/>
        </w:rPr>
        <w:t xml:space="preserve"> les directives consignées dans un manuel de supervision mis à disposition par le FID</w:t>
      </w:r>
      <w:r w:rsidRPr="00C70C12">
        <w:rPr>
          <w:sz w:val="22"/>
          <w:szCs w:val="22"/>
          <w:highlight w:val="lightGray"/>
          <w:lang w:val="fr-FR"/>
        </w:rPr>
        <w:t> ;</w:t>
      </w:r>
    </w:p>
    <w:p w14:paraId="4F6E7607" w14:textId="13386466" w:rsidR="00F27BFC" w:rsidRPr="00C70C12" w:rsidRDefault="00C70C12" w:rsidP="00C70C12">
      <w:pPr>
        <w:pStyle w:val="Paragraphedeliste"/>
        <w:numPr>
          <w:ilvl w:val="0"/>
          <w:numId w:val="17"/>
        </w:numPr>
        <w:tabs>
          <w:tab w:val="left" w:pos="9369"/>
          <w:tab w:val="left" w:pos="10560"/>
          <w:tab w:val="left" w:pos="11747"/>
          <w:tab w:val="left" w:pos="12934"/>
        </w:tabs>
        <w:jc w:val="both"/>
        <w:rPr>
          <w:sz w:val="22"/>
          <w:szCs w:val="22"/>
          <w:highlight w:val="lightGray"/>
          <w:lang w:val="fr-FR"/>
        </w:rPr>
      </w:pPr>
      <w:r w:rsidRPr="00C70C12">
        <w:rPr>
          <w:sz w:val="22"/>
          <w:szCs w:val="22"/>
          <w:highlight w:val="lightGray"/>
          <w:lang w:val="fr-FR"/>
        </w:rPr>
        <w:t>Suivra</w:t>
      </w:r>
      <w:r w:rsidR="00F27BFC" w:rsidRPr="00C70C12">
        <w:rPr>
          <w:sz w:val="22"/>
          <w:szCs w:val="22"/>
          <w:highlight w:val="lightGray"/>
          <w:lang w:val="fr-FR"/>
        </w:rPr>
        <w:t xml:space="preserve"> une démarche précise afin d’exécuter les différentes étapes à mener pour la validation des données en provenance des enquêteurs. Une grille de supervision sera fournie par le FID à cet effet.</w:t>
      </w:r>
    </w:p>
    <w:p w14:paraId="5BB2C821" w14:textId="72C82C50" w:rsidR="00F27BFC" w:rsidRPr="00C70C12" w:rsidRDefault="00C70C12" w:rsidP="00C70C12">
      <w:pPr>
        <w:pStyle w:val="Paragraphedeliste"/>
        <w:numPr>
          <w:ilvl w:val="0"/>
          <w:numId w:val="17"/>
        </w:numPr>
        <w:tabs>
          <w:tab w:val="left" w:pos="9369"/>
          <w:tab w:val="left" w:pos="10560"/>
          <w:tab w:val="left" w:pos="11747"/>
          <w:tab w:val="left" w:pos="12934"/>
        </w:tabs>
        <w:jc w:val="both"/>
        <w:rPr>
          <w:sz w:val="22"/>
          <w:szCs w:val="22"/>
          <w:highlight w:val="lightGray"/>
          <w:lang w:val="fr-FR"/>
        </w:rPr>
      </w:pPr>
      <w:r w:rsidRPr="00C70C12">
        <w:rPr>
          <w:sz w:val="22"/>
          <w:szCs w:val="22"/>
          <w:highlight w:val="lightGray"/>
          <w:lang w:val="fr-FR"/>
        </w:rPr>
        <w:t>Traitera</w:t>
      </w:r>
      <w:r w:rsidR="00F27BFC" w:rsidRPr="00C70C12">
        <w:rPr>
          <w:sz w:val="22"/>
          <w:szCs w:val="22"/>
          <w:highlight w:val="lightGray"/>
          <w:lang w:val="fr-FR"/>
        </w:rPr>
        <w:t xml:space="preserve"> environ 1420 interviews réalisées par des équipes différentes, pendant une durée de 33 jours de terrain, réparties dans les huit communes et 5</w:t>
      </w:r>
      <w:r w:rsidR="00EC581D" w:rsidRPr="00C70C12">
        <w:rPr>
          <w:sz w:val="22"/>
          <w:szCs w:val="22"/>
          <w:highlight w:val="lightGray"/>
          <w:lang w:val="fr-FR"/>
        </w:rPr>
        <w:t>4 fokontany concernés par la re</w:t>
      </w:r>
      <w:r w:rsidRPr="00C70C12">
        <w:rPr>
          <w:sz w:val="22"/>
          <w:szCs w:val="22"/>
          <w:highlight w:val="lightGray"/>
          <w:lang w:val="fr-FR"/>
        </w:rPr>
        <w:t xml:space="preserve"> </w:t>
      </w:r>
      <w:r w:rsidR="00F27BFC" w:rsidRPr="00C70C12">
        <w:rPr>
          <w:sz w:val="22"/>
          <w:szCs w:val="22"/>
          <w:highlight w:val="lightGray"/>
          <w:lang w:val="fr-FR"/>
        </w:rPr>
        <w:t>certification des ménages</w:t>
      </w:r>
      <w:r w:rsidRPr="00C70C12">
        <w:rPr>
          <w:sz w:val="22"/>
          <w:szCs w:val="22"/>
          <w:highlight w:val="lightGray"/>
          <w:lang w:val="fr-FR"/>
        </w:rPr>
        <w:t> ;</w:t>
      </w:r>
    </w:p>
    <w:p w14:paraId="58B25C0E" w14:textId="1BFC1438" w:rsidR="009D638E" w:rsidRPr="00C70C12" w:rsidRDefault="00C70C12" w:rsidP="00C70C12">
      <w:pPr>
        <w:pStyle w:val="Paragraphedeliste"/>
        <w:numPr>
          <w:ilvl w:val="0"/>
          <w:numId w:val="17"/>
        </w:numPr>
        <w:tabs>
          <w:tab w:val="left" w:pos="9369"/>
          <w:tab w:val="left" w:pos="10560"/>
          <w:tab w:val="left" w:pos="11747"/>
          <w:tab w:val="left" w:pos="12934"/>
        </w:tabs>
        <w:jc w:val="both"/>
        <w:rPr>
          <w:sz w:val="22"/>
          <w:szCs w:val="22"/>
          <w:highlight w:val="lightGray"/>
          <w:lang w:val="fr-FR"/>
        </w:rPr>
      </w:pPr>
      <w:r w:rsidRPr="00C70C12">
        <w:rPr>
          <w:sz w:val="22"/>
          <w:szCs w:val="22"/>
          <w:highlight w:val="lightGray"/>
          <w:lang w:val="fr-FR"/>
        </w:rPr>
        <w:t>Mènera</w:t>
      </w:r>
      <w:r w:rsidR="009D638E" w:rsidRPr="00C70C12">
        <w:rPr>
          <w:sz w:val="22"/>
          <w:szCs w:val="22"/>
          <w:highlight w:val="lightGray"/>
          <w:lang w:val="fr-FR"/>
        </w:rPr>
        <w:t xml:space="preserve"> 200 contre-enquêtes chez les ménages déjà interviewés afin de vérifier tout ou partie des données collectées</w:t>
      </w:r>
      <w:r>
        <w:rPr>
          <w:sz w:val="22"/>
          <w:szCs w:val="22"/>
          <w:highlight w:val="lightGray"/>
          <w:lang w:val="fr-FR"/>
        </w:rPr>
        <w:t> ;</w:t>
      </w:r>
    </w:p>
    <w:p w14:paraId="197B2B36" w14:textId="63350035" w:rsidR="009D638E" w:rsidRPr="00265ADC" w:rsidRDefault="00C70C12" w:rsidP="00C70C12">
      <w:pPr>
        <w:pStyle w:val="Paragraphedeliste"/>
        <w:numPr>
          <w:ilvl w:val="0"/>
          <w:numId w:val="17"/>
        </w:numPr>
        <w:tabs>
          <w:tab w:val="left" w:pos="9369"/>
          <w:tab w:val="left" w:pos="10560"/>
          <w:tab w:val="left" w:pos="11747"/>
          <w:tab w:val="left" w:pos="12934"/>
        </w:tabs>
        <w:jc w:val="both"/>
        <w:rPr>
          <w:sz w:val="22"/>
          <w:szCs w:val="22"/>
          <w:highlight w:val="darkGray"/>
          <w:lang w:val="fr-FR"/>
        </w:rPr>
      </w:pPr>
      <w:r w:rsidRPr="00C70C12">
        <w:rPr>
          <w:sz w:val="22"/>
          <w:szCs w:val="22"/>
          <w:highlight w:val="lightGray"/>
          <w:lang w:val="fr-FR"/>
        </w:rPr>
        <w:t>Assistera</w:t>
      </w:r>
      <w:r w:rsidR="009D638E" w:rsidRPr="00C70C12">
        <w:rPr>
          <w:sz w:val="22"/>
          <w:szCs w:val="22"/>
          <w:highlight w:val="lightGray"/>
          <w:lang w:val="fr-FR"/>
        </w:rPr>
        <w:t xml:space="preserve"> à la réalisation d’un certain nombre d</w:t>
      </w:r>
      <w:r w:rsidR="00265ADC" w:rsidRPr="00C70C12">
        <w:rPr>
          <w:sz w:val="22"/>
          <w:szCs w:val="22"/>
          <w:highlight w:val="lightGray"/>
          <w:lang w:val="fr-FR"/>
        </w:rPr>
        <w:t>’</w:t>
      </w:r>
      <w:r w:rsidR="009D638E" w:rsidRPr="00C70C12">
        <w:rPr>
          <w:sz w:val="22"/>
          <w:szCs w:val="22"/>
          <w:highlight w:val="lightGray"/>
          <w:lang w:val="fr-FR"/>
        </w:rPr>
        <w:t xml:space="preserve">interviews </w:t>
      </w:r>
      <w:r w:rsidR="00265ADC" w:rsidRPr="00C70C12">
        <w:rPr>
          <w:sz w:val="22"/>
          <w:szCs w:val="22"/>
          <w:highlight w:val="lightGray"/>
          <w:lang w:val="fr-FR"/>
        </w:rPr>
        <w:t xml:space="preserve">de ménages </w:t>
      </w:r>
      <w:r w:rsidR="009D638E" w:rsidRPr="00C70C12">
        <w:rPr>
          <w:sz w:val="22"/>
          <w:szCs w:val="22"/>
          <w:highlight w:val="lightGray"/>
          <w:lang w:val="fr-FR"/>
        </w:rPr>
        <w:t>par les enquêteurs</w:t>
      </w:r>
      <w:r w:rsidR="00265ADC" w:rsidRPr="00C70C12">
        <w:rPr>
          <w:sz w:val="22"/>
          <w:szCs w:val="22"/>
          <w:highlight w:val="lightGray"/>
          <w:lang w:val="fr-FR"/>
        </w:rPr>
        <w:t>, sans toutefois y prendre part. Ceci a pour objectif de formuler des recommandations afin d’améliorer la qualité des données</w:t>
      </w:r>
      <w:r w:rsidR="00265ADC" w:rsidRPr="00265ADC">
        <w:rPr>
          <w:sz w:val="22"/>
          <w:szCs w:val="22"/>
          <w:highlight w:val="darkGray"/>
          <w:lang w:val="fr-FR"/>
        </w:rPr>
        <w:t>.</w:t>
      </w:r>
    </w:p>
    <w:p w14:paraId="6A4B8E13" w14:textId="77777777" w:rsidR="00F27BFC" w:rsidRPr="007079E4" w:rsidRDefault="00F27BFC" w:rsidP="00F27BFC">
      <w:pPr>
        <w:pStyle w:val="Paragraphedeliste"/>
        <w:tabs>
          <w:tab w:val="left" w:pos="9369"/>
          <w:tab w:val="left" w:pos="10560"/>
          <w:tab w:val="left" w:pos="11747"/>
          <w:tab w:val="left" w:pos="12934"/>
        </w:tabs>
        <w:ind w:left="790"/>
        <w:rPr>
          <w:sz w:val="22"/>
          <w:szCs w:val="22"/>
          <w:lang w:val="fr-FR"/>
        </w:rPr>
      </w:pPr>
    </w:p>
    <w:p w14:paraId="2A407AD1" w14:textId="5CBA1812" w:rsidR="00BF42D7" w:rsidRDefault="00511DA0" w:rsidP="00BF42D7">
      <w:pPr>
        <w:pStyle w:val="Prrafodelista"/>
        <w:keepNext/>
        <w:keepLines/>
        <w:numPr>
          <w:ilvl w:val="0"/>
          <w:numId w:val="1"/>
        </w:numPr>
        <w:spacing w:before="200"/>
        <w:rPr>
          <w:rFonts w:ascii="Times New Roman" w:hAnsi="Times New Roman"/>
          <w:b/>
          <w:sz w:val="22"/>
          <w:szCs w:val="22"/>
        </w:rPr>
      </w:pPr>
      <w:r>
        <w:rPr>
          <w:rFonts w:ascii="Times New Roman" w:hAnsi="Times New Roman"/>
          <w:b/>
          <w:sz w:val="22"/>
          <w:szCs w:val="22"/>
        </w:rPr>
        <w:t>Zone d’intervention</w:t>
      </w:r>
    </w:p>
    <w:p w14:paraId="76D802E0" w14:textId="77777777" w:rsidR="002567CA" w:rsidRPr="00511DA0" w:rsidRDefault="002567CA" w:rsidP="002567CA">
      <w:pPr>
        <w:pStyle w:val="Prrafodelista"/>
        <w:keepNext/>
        <w:keepLines/>
        <w:spacing w:before="200"/>
        <w:ind w:left="1080"/>
        <w:rPr>
          <w:rFonts w:ascii="Times New Roman" w:hAnsi="Times New Roman"/>
          <w:b/>
          <w:sz w:val="22"/>
          <w:szCs w:val="22"/>
        </w:rPr>
      </w:pPr>
    </w:p>
    <w:p w14:paraId="06B47CF2" w14:textId="76675FED" w:rsidR="00BF42D7" w:rsidRPr="00940CFD" w:rsidRDefault="002567CA" w:rsidP="002567CA">
      <w:pPr>
        <w:ind w:left="360"/>
        <w:jc w:val="both"/>
        <w:rPr>
          <w:sz w:val="22"/>
          <w:szCs w:val="22"/>
          <w:lang w:val="fr-FR"/>
        </w:rPr>
      </w:pPr>
      <w:r>
        <w:rPr>
          <w:sz w:val="22"/>
          <w:szCs w:val="22"/>
          <w:lang w:val="fr-FR"/>
        </w:rPr>
        <w:t xml:space="preserve">Les 54 Fokontany dans les 08 Communes bénéficiaires du programme TMDH dans le district de </w:t>
      </w:r>
      <w:proofErr w:type="spellStart"/>
      <w:r>
        <w:rPr>
          <w:sz w:val="22"/>
          <w:szCs w:val="22"/>
          <w:lang w:val="fr-FR"/>
        </w:rPr>
        <w:t>Betafo</w:t>
      </w:r>
      <w:proofErr w:type="spellEnd"/>
      <w:r>
        <w:rPr>
          <w:sz w:val="22"/>
          <w:szCs w:val="22"/>
          <w:lang w:val="fr-FR"/>
        </w:rPr>
        <w:t>.</w:t>
      </w:r>
    </w:p>
    <w:p w14:paraId="594603AC" w14:textId="77777777" w:rsidR="00BF42D7" w:rsidRDefault="00BF42D7" w:rsidP="00BF42D7">
      <w:pPr>
        <w:pStyle w:val="Prrafodelista"/>
        <w:keepNext/>
        <w:keepLines/>
        <w:numPr>
          <w:ilvl w:val="0"/>
          <w:numId w:val="1"/>
        </w:numPr>
        <w:spacing w:before="200"/>
        <w:rPr>
          <w:rFonts w:ascii="Times New Roman" w:hAnsi="Times New Roman"/>
          <w:b/>
          <w:sz w:val="22"/>
          <w:szCs w:val="22"/>
        </w:rPr>
      </w:pPr>
      <w:r w:rsidRPr="00940CFD">
        <w:rPr>
          <w:rFonts w:ascii="Times New Roman" w:hAnsi="Times New Roman"/>
          <w:b/>
          <w:sz w:val="22"/>
          <w:szCs w:val="22"/>
        </w:rPr>
        <w:t>Livrables :</w:t>
      </w:r>
    </w:p>
    <w:p w14:paraId="02033CDF" w14:textId="1D97DC8D" w:rsidR="001938C8" w:rsidRDefault="000E36DC" w:rsidP="001938C8">
      <w:pPr>
        <w:suppressAutoHyphens/>
        <w:ind w:left="708"/>
        <w:rPr>
          <w:color w:val="00000A"/>
          <w:sz w:val="22"/>
          <w:szCs w:val="22"/>
          <w:lang w:val="fr-FR"/>
        </w:rPr>
      </w:pPr>
      <w:r w:rsidRPr="000E36DC">
        <w:rPr>
          <w:color w:val="00000A"/>
          <w:sz w:val="22"/>
          <w:szCs w:val="22"/>
          <w:lang w:val="fr-FR"/>
        </w:rPr>
        <w:t xml:space="preserve">Le Consultant </w:t>
      </w:r>
      <w:r w:rsidRPr="00ED0E5E">
        <w:rPr>
          <w:color w:val="00000A"/>
          <w:sz w:val="22"/>
          <w:szCs w:val="22"/>
          <w:lang w:val="fr-FR"/>
        </w:rPr>
        <w:t xml:space="preserve">individuel </w:t>
      </w:r>
      <w:r w:rsidR="001938C8">
        <w:rPr>
          <w:color w:val="00000A"/>
          <w:sz w:val="22"/>
          <w:szCs w:val="22"/>
          <w:lang w:val="fr-FR"/>
        </w:rPr>
        <w:t>superviseur</w:t>
      </w:r>
      <w:r w:rsidRPr="000E36DC">
        <w:rPr>
          <w:color w:val="00000A"/>
          <w:sz w:val="22"/>
          <w:szCs w:val="22"/>
          <w:lang w:val="fr-FR"/>
        </w:rPr>
        <w:t xml:space="preserve"> s’engage à livrer au FID </w:t>
      </w:r>
      <w:r w:rsidR="001938C8">
        <w:rPr>
          <w:color w:val="00000A"/>
          <w:sz w:val="22"/>
          <w:szCs w:val="22"/>
          <w:lang w:val="fr-FR"/>
        </w:rPr>
        <w:t xml:space="preserve">et au Statisticien-économiste, en version </w:t>
      </w:r>
      <w:r w:rsidR="00F82392">
        <w:rPr>
          <w:color w:val="00000A"/>
          <w:sz w:val="22"/>
          <w:szCs w:val="22"/>
          <w:lang w:val="fr-FR"/>
        </w:rPr>
        <w:t>papier</w:t>
      </w:r>
      <w:r w:rsidR="001938C8">
        <w:rPr>
          <w:color w:val="00000A"/>
          <w:sz w:val="22"/>
          <w:szCs w:val="22"/>
          <w:lang w:val="fr-FR"/>
        </w:rPr>
        <w:t xml:space="preserve"> et en version électronique :</w:t>
      </w:r>
    </w:p>
    <w:p w14:paraId="3D6EEA84" w14:textId="09863A8A" w:rsidR="000E36DC" w:rsidRPr="00C70C12" w:rsidRDefault="00F27BFC" w:rsidP="00C70C12">
      <w:pPr>
        <w:pStyle w:val="Paragraphedeliste"/>
        <w:numPr>
          <w:ilvl w:val="0"/>
          <w:numId w:val="17"/>
        </w:numPr>
        <w:tabs>
          <w:tab w:val="left" w:pos="9369"/>
          <w:tab w:val="left" w:pos="10560"/>
          <w:tab w:val="left" w:pos="11747"/>
          <w:tab w:val="left" w:pos="12934"/>
        </w:tabs>
        <w:jc w:val="both"/>
        <w:rPr>
          <w:sz w:val="22"/>
          <w:szCs w:val="22"/>
          <w:highlight w:val="lightGray"/>
          <w:lang w:val="fr-FR"/>
        </w:rPr>
      </w:pPr>
      <w:r w:rsidRPr="00C70C12">
        <w:rPr>
          <w:sz w:val="22"/>
          <w:szCs w:val="22"/>
          <w:highlight w:val="lightGray"/>
          <w:lang w:val="fr-FR"/>
        </w:rPr>
        <w:t>Un rapport de validation des données devra être fourni après le traitement d’environ 360 questionnaires remplis, suivant un canevas fourni par le FID. Ceci correspond, approximativement, à un rapport tous les 7 jours.</w:t>
      </w:r>
    </w:p>
    <w:p w14:paraId="29011420" w14:textId="6E8ECA0B" w:rsidR="001938C8" w:rsidRPr="00C70C12" w:rsidRDefault="001938C8" w:rsidP="00C70C12">
      <w:pPr>
        <w:pStyle w:val="Paragraphedeliste"/>
        <w:numPr>
          <w:ilvl w:val="0"/>
          <w:numId w:val="17"/>
        </w:numPr>
        <w:tabs>
          <w:tab w:val="left" w:pos="9369"/>
          <w:tab w:val="left" w:pos="10560"/>
          <w:tab w:val="left" w:pos="11747"/>
          <w:tab w:val="left" w:pos="12934"/>
        </w:tabs>
        <w:jc w:val="both"/>
        <w:rPr>
          <w:sz w:val="22"/>
          <w:szCs w:val="22"/>
          <w:highlight w:val="lightGray"/>
          <w:lang w:val="fr-FR"/>
        </w:rPr>
      </w:pPr>
      <w:r w:rsidRPr="00C70C12">
        <w:rPr>
          <w:sz w:val="22"/>
          <w:szCs w:val="22"/>
          <w:highlight w:val="lightGray"/>
          <w:lang w:val="fr-FR"/>
        </w:rPr>
        <w:t>Un rapport final de fin de prestations</w:t>
      </w:r>
      <w:r w:rsidR="00F27BFC" w:rsidRPr="00C70C12">
        <w:rPr>
          <w:sz w:val="22"/>
          <w:szCs w:val="22"/>
          <w:highlight w:val="lightGray"/>
          <w:lang w:val="fr-FR"/>
        </w:rPr>
        <w:t>.</w:t>
      </w:r>
    </w:p>
    <w:p w14:paraId="6D268A10" w14:textId="77777777" w:rsidR="00BF42D7" w:rsidRPr="00C70C12" w:rsidRDefault="00BF42D7" w:rsidP="00C70C12">
      <w:pPr>
        <w:pStyle w:val="Paragraphedeliste"/>
        <w:tabs>
          <w:tab w:val="left" w:pos="9369"/>
          <w:tab w:val="left" w:pos="10560"/>
          <w:tab w:val="left" w:pos="11747"/>
          <w:tab w:val="left" w:pos="12934"/>
        </w:tabs>
        <w:ind w:left="790"/>
        <w:jc w:val="both"/>
        <w:rPr>
          <w:sz w:val="22"/>
          <w:szCs w:val="22"/>
          <w:highlight w:val="lightGray"/>
          <w:lang w:val="fr-FR"/>
        </w:rPr>
      </w:pPr>
    </w:p>
    <w:p w14:paraId="28927D7C" w14:textId="77777777" w:rsidR="00BF42D7" w:rsidRDefault="00D70E3B" w:rsidP="00BF42D7">
      <w:pPr>
        <w:pStyle w:val="Prrafodelista"/>
        <w:keepNext/>
        <w:keepLines/>
        <w:numPr>
          <w:ilvl w:val="0"/>
          <w:numId w:val="1"/>
        </w:numPr>
        <w:spacing w:before="200"/>
        <w:rPr>
          <w:b/>
          <w:sz w:val="22"/>
          <w:szCs w:val="22"/>
        </w:rPr>
      </w:pPr>
      <w:r>
        <w:rPr>
          <w:b/>
          <w:sz w:val="22"/>
          <w:szCs w:val="22"/>
        </w:rPr>
        <w:lastRenderedPageBreak/>
        <w:t>Profil requis</w:t>
      </w:r>
    </w:p>
    <w:p w14:paraId="530D7840" w14:textId="574E1A91" w:rsidR="00F82392" w:rsidRPr="000B3474" w:rsidRDefault="001938C8" w:rsidP="00F82392">
      <w:pPr>
        <w:tabs>
          <w:tab w:val="left" w:pos="2222"/>
          <w:tab w:val="left" w:pos="3414"/>
          <w:tab w:val="left" w:pos="5796"/>
          <w:tab w:val="left" w:pos="6987"/>
          <w:tab w:val="left" w:pos="8178"/>
          <w:tab w:val="left" w:pos="9369"/>
          <w:tab w:val="left" w:pos="10560"/>
          <w:tab w:val="left" w:pos="11747"/>
          <w:tab w:val="left" w:pos="12934"/>
        </w:tabs>
        <w:ind w:left="360"/>
        <w:rPr>
          <w:color w:val="00000A"/>
          <w:sz w:val="22"/>
          <w:szCs w:val="22"/>
          <w:lang w:val="fr-FR"/>
        </w:rPr>
      </w:pPr>
      <w:r w:rsidRPr="00F82392">
        <w:rPr>
          <w:color w:val="00000A"/>
          <w:sz w:val="22"/>
          <w:szCs w:val="22"/>
          <w:u w:val="single"/>
          <w:lang w:val="fr-FR"/>
        </w:rPr>
        <w:t>Niveau de qualifications</w:t>
      </w:r>
      <w:r>
        <w:rPr>
          <w:color w:val="00000A"/>
          <w:sz w:val="22"/>
          <w:szCs w:val="22"/>
          <w:lang w:val="fr-FR"/>
        </w:rPr>
        <w:t xml:space="preserve"> : </w:t>
      </w:r>
      <w:r w:rsidR="000B3474" w:rsidRPr="000B3474">
        <w:rPr>
          <w:color w:val="00000A"/>
          <w:sz w:val="22"/>
          <w:szCs w:val="22"/>
          <w:lang w:val="fr-FR"/>
        </w:rPr>
        <w:t>Master II  minimum en Economie, Sciences sociales, Statistiques ou équivalent</w:t>
      </w:r>
    </w:p>
    <w:p w14:paraId="31A0D10D" w14:textId="77777777" w:rsidR="00F82392" w:rsidRDefault="00F82392" w:rsidP="00F82392">
      <w:pPr>
        <w:tabs>
          <w:tab w:val="left" w:pos="2222"/>
          <w:tab w:val="left" w:pos="3414"/>
          <w:tab w:val="left" w:pos="5796"/>
          <w:tab w:val="left" w:pos="6987"/>
          <w:tab w:val="left" w:pos="8178"/>
          <w:tab w:val="left" w:pos="9369"/>
          <w:tab w:val="left" w:pos="10560"/>
          <w:tab w:val="left" w:pos="11747"/>
          <w:tab w:val="left" w:pos="12934"/>
        </w:tabs>
        <w:ind w:left="360"/>
        <w:rPr>
          <w:color w:val="00000A"/>
          <w:sz w:val="22"/>
          <w:szCs w:val="22"/>
          <w:lang w:val="fr-FR"/>
        </w:rPr>
      </w:pPr>
      <w:r w:rsidRPr="00F82392">
        <w:rPr>
          <w:color w:val="00000A"/>
          <w:sz w:val="22"/>
          <w:szCs w:val="22"/>
          <w:u w:val="single"/>
          <w:lang w:val="fr-FR"/>
        </w:rPr>
        <w:t>Expériences </w:t>
      </w:r>
      <w:r>
        <w:rPr>
          <w:color w:val="00000A"/>
          <w:sz w:val="22"/>
          <w:szCs w:val="22"/>
          <w:lang w:val="fr-FR"/>
        </w:rPr>
        <w:t xml:space="preserve">: </w:t>
      </w:r>
    </w:p>
    <w:p w14:paraId="6E5362E3" w14:textId="5CF81180" w:rsidR="00366054" w:rsidRPr="00366054" w:rsidRDefault="00366054" w:rsidP="001938C8">
      <w:pPr>
        <w:pStyle w:val="Paragraphedeliste"/>
        <w:numPr>
          <w:ilvl w:val="0"/>
          <w:numId w:val="16"/>
        </w:numPr>
        <w:tabs>
          <w:tab w:val="left" w:pos="1030"/>
          <w:tab w:val="left" w:pos="4605"/>
          <w:tab w:val="left" w:pos="5796"/>
          <w:tab w:val="left" w:pos="6987"/>
          <w:tab w:val="left" w:pos="8178"/>
          <w:tab w:val="left" w:pos="9369"/>
          <w:tab w:val="left" w:pos="10560"/>
          <w:tab w:val="left" w:pos="11747"/>
          <w:tab w:val="left" w:pos="12934"/>
        </w:tabs>
        <w:contextualSpacing/>
        <w:rPr>
          <w:color w:val="00000A"/>
          <w:sz w:val="22"/>
          <w:szCs w:val="22"/>
          <w:highlight w:val="lightGray"/>
          <w:lang w:val="fr-FR"/>
        </w:rPr>
      </w:pPr>
      <w:r w:rsidRPr="00366054">
        <w:rPr>
          <w:color w:val="00000A"/>
          <w:sz w:val="22"/>
          <w:szCs w:val="22"/>
          <w:highlight w:val="lightGray"/>
        </w:rPr>
        <w:t xml:space="preserve">02 experiences </w:t>
      </w:r>
      <w:proofErr w:type="spellStart"/>
      <w:r w:rsidRPr="00366054">
        <w:rPr>
          <w:color w:val="00000A"/>
          <w:sz w:val="22"/>
          <w:szCs w:val="22"/>
          <w:highlight w:val="lightGray"/>
        </w:rPr>
        <w:t>en</w:t>
      </w:r>
      <w:proofErr w:type="spellEnd"/>
      <w:r w:rsidRPr="00366054">
        <w:rPr>
          <w:color w:val="00000A"/>
          <w:sz w:val="22"/>
          <w:szCs w:val="22"/>
          <w:highlight w:val="lightGray"/>
        </w:rPr>
        <w:t xml:space="preserve"> supervision </w:t>
      </w:r>
      <w:proofErr w:type="spellStart"/>
      <w:r w:rsidRPr="00366054">
        <w:rPr>
          <w:color w:val="00000A"/>
          <w:sz w:val="22"/>
          <w:szCs w:val="22"/>
          <w:highlight w:val="lightGray"/>
        </w:rPr>
        <w:t>d’enquête</w:t>
      </w:r>
      <w:proofErr w:type="spellEnd"/>
      <w:r w:rsidRPr="00366054">
        <w:rPr>
          <w:color w:val="00000A"/>
          <w:sz w:val="22"/>
          <w:szCs w:val="22"/>
          <w:highlight w:val="lightGray"/>
        </w:rPr>
        <w:t xml:space="preserve"> ménages </w:t>
      </w:r>
      <w:proofErr w:type="spellStart"/>
      <w:r w:rsidRPr="00366054">
        <w:rPr>
          <w:color w:val="00000A"/>
          <w:sz w:val="22"/>
          <w:szCs w:val="22"/>
          <w:highlight w:val="lightGray"/>
        </w:rPr>
        <w:t>multithèmes</w:t>
      </w:r>
      <w:proofErr w:type="spellEnd"/>
      <w:r w:rsidRPr="00366054">
        <w:rPr>
          <w:color w:val="00000A"/>
          <w:sz w:val="22"/>
          <w:szCs w:val="22"/>
          <w:highlight w:val="lightGray"/>
        </w:rPr>
        <w:t xml:space="preserve"> de </w:t>
      </w:r>
      <w:proofErr w:type="spellStart"/>
      <w:r w:rsidRPr="00366054">
        <w:rPr>
          <w:color w:val="00000A"/>
          <w:sz w:val="22"/>
          <w:szCs w:val="22"/>
          <w:highlight w:val="lightGray"/>
        </w:rPr>
        <w:t>taille</w:t>
      </w:r>
      <w:proofErr w:type="spellEnd"/>
      <w:r w:rsidRPr="00366054">
        <w:rPr>
          <w:color w:val="00000A"/>
          <w:sz w:val="22"/>
          <w:szCs w:val="22"/>
          <w:highlight w:val="lightGray"/>
        </w:rPr>
        <w:t xml:space="preserve"> minimum de 3000 ménages</w:t>
      </w:r>
    </w:p>
    <w:p w14:paraId="0EF0CB0D" w14:textId="100592AF" w:rsidR="001938C8" w:rsidRDefault="001938C8" w:rsidP="001938C8">
      <w:pPr>
        <w:pStyle w:val="Paragraphedeliste"/>
        <w:numPr>
          <w:ilvl w:val="0"/>
          <w:numId w:val="16"/>
        </w:numPr>
        <w:tabs>
          <w:tab w:val="left" w:pos="1030"/>
          <w:tab w:val="left" w:pos="4605"/>
          <w:tab w:val="left" w:pos="5796"/>
          <w:tab w:val="left" w:pos="6987"/>
          <w:tab w:val="left" w:pos="8178"/>
          <w:tab w:val="left" w:pos="9369"/>
          <w:tab w:val="left" w:pos="10560"/>
          <w:tab w:val="left" w:pos="11747"/>
          <w:tab w:val="left" w:pos="12934"/>
        </w:tabs>
        <w:contextualSpacing/>
        <w:rPr>
          <w:color w:val="00000A"/>
          <w:sz w:val="22"/>
          <w:szCs w:val="22"/>
          <w:lang w:val="fr-FR"/>
        </w:rPr>
      </w:pPr>
      <w:r w:rsidRPr="001938C8">
        <w:rPr>
          <w:color w:val="00000A"/>
          <w:sz w:val="22"/>
          <w:szCs w:val="22"/>
          <w:lang w:val="fr-FR"/>
        </w:rPr>
        <w:t>Pratique des interviews sur tablettes, notamment : utilisation du logiciel de saisie CSPRO sur tablette</w:t>
      </w:r>
    </w:p>
    <w:p w14:paraId="5C3F60E3" w14:textId="77777777" w:rsidR="001938C8" w:rsidRPr="00F82392" w:rsidRDefault="001938C8" w:rsidP="00F82392">
      <w:pPr>
        <w:ind w:left="360"/>
        <w:jc w:val="both"/>
        <w:rPr>
          <w:rFonts w:eastAsia="Batang"/>
          <w:sz w:val="22"/>
          <w:szCs w:val="22"/>
          <w:u w:val="single"/>
          <w:lang w:val="fr-FR"/>
        </w:rPr>
      </w:pPr>
      <w:r w:rsidRPr="00F82392">
        <w:rPr>
          <w:rFonts w:eastAsia="Batang"/>
          <w:sz w:val="22"/>
          <w:szCs w:val="22"/>
          <w:u w:val="single"/>
          <w:lang w:val="fr-FR"/>
        </w:rPr>
        <w:t>Autres qualités recherchées :</w:t>
      </w:r>
    </w:p>
    <w:p w14:paraId="0674DAEE" w14:textId="77777777" w:rsidR="001938C8" w:rsidRPr="00F82392" w:rsidRDefault="001938C8" w:rsidP="001938C8">
      <w:pPr>
        <w:pStyle w:val="Paragraphedeliste"/>
        <w:numPr>
          <w:ilvl w:val="0"/>
          <w:numId w:val="14"/>
        </w:numPr>
        <w:jc w:val="both"/>
        <w:rPr>
          <w:rFonts w:eastAsia="Batang"/>
          <w:sz w:val="22"/>
          <w:szCs w:val="22"/>
          <w:u w:val="single"/>
          <w:lang w:val="fr-FR"/>
        </w:rPr>
      </w:pPr>
      <w:r>
        <w:rPr>
          <w:rFonts w:eastAsia="Batang"/>
          <w:sz w:val="22"/>
          <w:szCs w:val="22"/>
          <w:lang w:val="fr-FR"/>
        </w:rPr>
        <w:t>Expérience et/ou connaissance en milieu rural</w:t>
      </w:r>
    </w:p>
    <w:p w14:paraId="172B773B" w14:textId="7989DE2F" w:rsidR="00F82392" w:rsidRPr="00D70E3B" w:rsidRDefault="00F82392" w:rsidP="001938C8">
      <w:pPr>
        <w:pStyle w:val="Paragraphedeliste"/>
        <w:numPr>
          <w:ilvl w:val="0"/>
          <w:numId w:val="14"/>
        </w:numPr>
        <w:jc w:val="both"/>
        <w:rPr>
          <w:rFonts w:eastAsia="Batang"/>
          <w:sz w:val="22"/>
          <w:szCs w:val="22"/>
          <w:u w:val="single"/>
          <w:lang w:val="fr-FR"/>
        </w:rPr>
      </w:pPr>
      <w:r>
        <w:rPr>
          <w:rFonts w:eastAsia="Batang"/>
          <w:sz w:val="22"/>
          <w:szCs w:val="22"/>
          <w:lang w:val="fr-FR"/>
        </w:rPr>
        <w:t>Apte à se déplacer à pied dans des zones reculées</w:t>
      </w:r>
    </w:p>
    <w:p w14:paraId="2741905A" w14:textId="77777777" w:rsidR="001938C8" w:rsidRPr="00063227" w:rsidRDefault="001938C8" w:rsidP="001938C8">
      <w:pPr>
        <w:pStyle w:val="Paragraphedeliste"/>
        <w:numPr>
          <w:ilvl w:val="0"/>
          <w:numId w:val="14"/>
        </w:numPr>
        <w:jc w:val="both"/>
        <w:rPr>
          <w:rFonts w:eastAsia="Batang"/>
          <w:sz w:val="22"/>
          <w:szCs w:val="22"/>
          <w:u w:val="single"/>
          <w:lang w:val="fr-FR"/>
        </w:rPr>
      </w:pPr>
      <w:r>
        <w:rPr>
          <w:rFonts w:eastAsia="Batang"/>
          <w:sz w:val="22"/>
          <w:szCs w:val="22"/>
          <w:lang w:val="fr-FR"/>
        </w:rPr>
        <w:t>Grande capacité de communication</w:t>
      </w:r>
    </w:p>
    <w:p w14:paraId="194B9095" w14:textId="77777777" w:rsidR="001938C8" w:rsidRPr="00063227" w:rsidRDefault="001938C8" w:rsidP="001938C8">
      <w:pPr>
        <w:pStyle w:val="Paragraphedeliste"/>
        <w:numPr>
          <w:ilvl w:val="0"/>
          <w:numId w:val="14"/>
        </w:numPr>
        <w:jc w:val="both"/>
        <w:rPr>
          <w:rFonts w:eastAsia="Batang"/>
          <w:sz w:val="22"/>
          <w:szCs w:val="22"/>
          <w:u w:val="single"/>
          <w:lang w:val="fr-FR"/>
        </w:rPr>
      </w:pPr>
      <w:r>
        <w:rPr>
          <w:rFonts w:eastAsia="Batang"/>
          <w:sz w:val="22"/>
          <w:szCs w:val="22"/>
          <w:lang w:val="fr-FR"/>
        </w:rPr>
        <w:t>Méthodique, ayant une bonne capacité organisationnelle</w:t>
      </w:r>
    </w:p>
    <w:p w14:paraId="02F66D57" w14:textId="77777777" w:rsidR="001938C8" w:rsidRPr="001E01EE" w:rsidRDefault="001938C8" w:rsidP="001938C8">
      <w:pPr>
        <w:pStyle w:val="Paragraphedeliste"/>
        <w:numPr>
          <w:ilvl w:val="0"/>
          <w:numId w:val="14"/>
        </w:numPr>
        <w:jc w:val="both"/>
        <w:rPr>
          <w:rFonts w:eastAsia="Batang"/>
          <w:sz w:val="22"/>
          <w:szCs w:val="22"/>
          <w:u w:val="single"/>
          <w:lang w:val="fr-FR"/>
        </w:rPr>
      </w:pPr>
      <w:r>
        <w:rPr>
          <w:rFonts w:eastAsia="Batang"/>
          <w:sz w:val="22"/>
          <w:szCs w:val="22"/>
          <w:lang w:val="fr-FR"/>
        </w:rPr>
        <w:t>Ayant un esprit logique, un sens de rigueur et d’analyse</w:t>
      </w:r>
    </w:p>
    <w:p w14:paraId="5755B8DE" w14:textId="77777777" w:rsidR="001938C8" w:rsidRPr="00D055D1" w:rsidRDefault="001938C8" w:rsidP="001938C8">
      <w:pPr>
        <w:pStyle w:val="Paragraphedeliste"/>
        <w:numPr>
          <w:ilvl w:val="0"/>
          <w:numId w:val="14"/>
        </w:numPr>
        <w:jc w:val="both"/>
        <w:rPr>
          <w:rFonts w:eastAsia="Batang"/>
          <w:sz w:val="22"/>
          <w:szCs w:val="22"/>
          <w:u w:val="single"/>
          <w:lang w:val="fr-FR"/>
        </w:rPr>
      </w:pPr>
      <w:r>
        <w:rPr>
          <w:rFonts w:eastAsia="Batang"/>
          <w:sz w:val="22"/>
          <w:szCs w:val="22"/>
          <w:lang w:val="fr-FR"/>
        </w:rPr>
        <w:t>Bonne capacité rédactionnelle</w:t>
      </w:r>
    </w:p>
    <w:p w14:paraId="7737A28B" w14:textId="10198CA2" w:rsidR="001938C8" w:rsidRPr="002E29C0" w:rsidRDefault="001938C8" w:rsidP="00772138">
      <w:pPr>
        <w:pStyle w:val="Paragraphedeliste"/>
        <w:numPr>
          <w:ilvl w:val="0"/>
          <w:numId w:val="14"/>
        </w:numPr>
        <w:jc w:val="both"/>
        <w:rPr>
          <w:rFonts w:eastAsia="Batang"/>
          <w:sz w:val="22"/>
          <w:szCs w:val="22"/>
          <w:u w:val="single"/>
          <w:lang w:val="fr-FR"/>
        </w:rPr>
      </w:pPr>
      <w:r w:rsidRPr="002E29C0">
        <w:rPr>
          <w:rFonts w:eastAsia="Batang"/>
          <w:sz w:val="22"/>
          <w:szCs w:val="22"/>
          <w:lang w:val="fr-FR"/>
        </w:rPr>
        <w:t>la connaissance et la pratique des dialectes locaux dans les zones d’enquête constitueraient un atout</w:t>
      </w:r>
    </w:p>
    <w:p w14:paraId="2C63AACE" w14:textId="77777777" w:rsidR="001938C8" w:rsidRPr="00940CFD" w:rsidRDefault="001938C8" w:rsidP="001938C8">
      <w:pPr>
        <w:pStyle w:val="Paragraphedeliste1"/>
        <w:ind w:left="0"/>
        <w:jc w:val="both"/>
        <w:rPr>
          <w:rFonts w:eastAsia="Batang"/>
          <w:sz w:val="22"/>
          <w:szCs w:val="22"/>
          <w:lang w:val="fr-FR"/>
        </w:rPr>
      </w:pPr>
    </w:p>
    <w:p w14:paraId="59D3160E" w14:textId="77777777" w:rsidR="00BF42D7" w:rsidRPr="00940CFD" w:rsidRDefault="00BF42D7" w:rsidP="00BF42D7">
      <w:pPr>
        <w:rPr>
          <w:sz w:val="22"/>
          <w:szCs w:val="22"/>
          <w:lang w:val="fr-FR"/>
        </w:rPr>
        <w:sectPr w:rsidR="00BF42D7" w:rsidRPr="00940CFD" w:rsidSect="00716807">
          <w:headerReference w:type="even" r:id="rId7"/>
          <w:headerReference w:type="default" r:id="rId8"/>
          <w:headerReference w:type="first" r:id="rId9"/>
          <w:pgSz w:w="12240" w:h="15840" w:code="1"/>
          <w:pgMar w:top="1440" w:right="1440" w:bottom="851" w:left="1440" w:header="720" w:footer="720" w:gutter="0"/>
          <w:pgBorders w:offsetFrom="page">
            <w:top w:val="none" w:sz="0" w:space="21" w:color="000000"/>
            <w:left w:val="none" w:sz="1" w:space="11" w:color="9B021E"/>
            <w:bottom w:val="none" w:sz="0" w:space="26" w:color="000000"/>
            <w:right w:val="none" w:sz="0" w:space="26" w:color="000000"/>
          </w:pgBorders>
          <w:cols w:space="720"/>
          <w:titlePg/>
          <w:docGrid w:linePitch="272"/>
        </w:sectPr>
      </w:pPr>
    </w:p>
    <w:p w14:paraId="1201F9C5" w14:textId="77777777" w:rsidR="00BF42D7" w:rsidRPr="00940CFD" w:rsidRDefault="00BF42D7" w:rsidP="00BF42D7">
      <w:pPr>
        <w:rPr>
          <w:lang w:val="fr-FR"/>
        </w:rPr>
      </w:pPr>
    </w:p>
    <w:tbl>
      <w:tblPr>
        <w:tblpPr w:leftFromText="141" w:rightFromText="141" w:horzAnchor="margin" w:tblpXSpec="center" w:tblpY="-1140"/>
        <w:tblW w:w="11220" w:type="dxa"/>
        <w:tblCellMar>
          <w:left w:w="70" w:type="dxa"/>
          <w:right w:w="70" w:type="dxa"/>
        </w:tblCellMar>
        <w:tblLook w:val="04A0" w:firstRow="1" w:lastRow="0" w:firstColumn="1" w:lastColumn="0" w:noHBand="0" w:noVBand="1"/>
      </w:tblPr>
      <w:tblGrid>
        <w:gridCol w:w="475"/>
        <w:gridCol w:w="1640"/>
        <w:gridCol w:w="1845"/>
        <w:gridCol w:w="2439"/>
        <w:gridCol w:w="2235"/>
        <w:gridCol w:w="2586"/>
      </w:tblGrid>
      <w:tr w:rsidR="00BF42D7" w:rsidRPr="000B3474" w14:paraId="1E817F0E" w14:textId="77777777" w:rsidTr="003F62F1">
        <w:trPr>
          <w:trHeight w:val="300"/>
        </w:trPr>
        <w:tc>
          <w:tcPr>
            <w:tcW w:w="11220" w:type="dxa"/>
            <w:gridSpan w:val="6"/>
            <w:tcBorders>
              <w:top w:val="nil"/>
              <w:left w:val="nil"/>
              <w:bottom w:val="nil"/>
              <w:right w:val="nil"/>
            </w:tcBorders>
            <w:shd w:val="clear" w:color="auto" w:fill="auto"/>
            <w:noWrap/>
            <w:vAlign w:val="bottom"/>
            <w:hideMark/>
          </w:tcPr>
          <w:p w14:paraId="70D7B682" w14:textId="77777777" w:rsidR="00BF42D7" w:rsidRPr="00940CFD" w:rsidRDefault="00BF42D7" w:rsidP="003F62F1">
            <w:pPr>
              <w:rPr>
                <w:rFonts w:ascii="Calibri" w:hAnsi="Calibri"/>
                <w:color w:val="000000"/>
                <w:lang w:val="fr-FR"/>
              </w:rPr>
            </w:pPr>
          </w:p>
        </w:tc>
      </w:tr>
      <w:tr w:rsidR="00BF42D7" w:rsidRPr="000B3474" w14:paraId="76BE00ED" w14:textId="77777777" w:rsidTr="003F62F1">
        <w:trPr>
          <w:trHeight w:val="300"/>
        </w:trPr>
        <w:tc>
          <w:tcPr>
            <w:tcW w:w="475" w:type="dxa"/>
            <w:tcBorders>
              <w:top w:val="nil"/>
              <w:left w:val="nil"/>
              <w:bottom w:val="nil"/>
              <w:right w:val="nil"/>
            </w:tcBorders>
            <w:shd w:val="clear" w:color="auto" w:fill="auto"/>
            <w:vAlign w:val="bottom"/>
            <w:hideMark/>
          </w:tcPr>
          <w:p w14:paraId="68F4103A" w14:textId="77777777" w:rsidR="00BF42D7" w:rsidRPr="00940CFD" w:rsidRDefault="00BF42D7" w:rsidP="003F62F1">
            <w:pPr>
              <w:rPr>
                <w:rFonts w:ascii="Calibri" w:hAnsi="Calibri"/>
                <w:b/>
                <w:bCs/>
                <w:color w:val="000000"/>
                <w:u w:val="single"/>
                <w:lang w:val="fr-FR"/>
              </w:rPr>
            </w:pPr>
          </w:p>
        </w:tc>
        <w:tc>
          <w:tcPr>
            <w:tcW w:w="1640" w:type="dxa"/>
            <w:tcBorders>
              <w:top w:val="nil"/>
              <w:left w:val="nil"/>
              <w:bottom w:val="nil"/>
              <w:right w:val="nil"/>
            </w:tcBorders>
            <w:shd w:val="clear" w:color="auto" w:fill="auto"/>
            <w:vAlign w:val="bottom"/>
            <w:hideMark/>
          </w:tcPr>
          <w:p w14:paraId="761F8098" w14:textId="77777777" w:rsidR="00BF42D7" w:rsidRPr="00940CFD" w:rsidRDefault="00BF42D7" w:rsidP="003F62F1">
            <w:pPr>
              <w:rPr>
                <w:rFonts w:ascii="Calibri" w:hAnsi="Calibri"/>
                <w:color w:val="000000"/>
                <w:lang w:val="fr-FR"/>
              </w:rPr>
            </w:pPr>
          </w:p>
        </w:tc>
        <w:tc>
          <w:tcPr>
            <w:tcW w:w="1845" w:type="dxa"/>
            <w:tcBorders>
              <w:top w:val="nil"/>
              <w:left w:val="nil"/>
              <w:bottom w:val="nil"/>
              <w:right w:val="nil"/>
            </w:tcBorders>
            <w:shd w:val="clear" w:color="auto" w:fill="auto"/>
            <w:vAlign w:val="bottom"/>
            <w:hideMark/>
          </w:tcPr>
          <w:p w14:paraId="31954D44" w14:textId="77777777" w:rsidR="00BF42D7" w:rsidRPr="00940CFD" w:rsidRDefault="00BF42D7" w:rsidP="003F62F1">
            <w:pPr>
              <w:rPr>
                <w:rFonts w:ascii="Calibri" w:hAnsi="Calibri"/>
                <w:color w:val="000000"/>
                <w:lang w:val="fr-FR"/>
              </w:rPr>
            </w:pPr>
          </w:p>
        </w:tc>
        <w:tc>
          <w:tcPr>
            <w:tcW w:w="2439" w:type="dxa"/>
            <w:tcBorders>
              <w:top w:val="nil"/>
              <w:left w:val="nil"/>
              <w:bottom w:val="nil"/>
              <w:right w:val="nil"/>
            </w:tcBorders>
            <w:shd w:val="clear" w:color="auto" w:fill="auto"/>
            <w:vAlign w:val="bottom"/>
            <w:hideMark/>
          </w:tcPr>
          <w:p w14:paraId="47C201E5" w14:textId="77777777" w:rsidR="00BF42D7" w:rsidRPr="00940CFD" w:rsidRDefault="00BF42D7" w:rsidP="003F62F1">
            <w:pPr>
              <w:rPr>
                <w:rFonts w:ascii="Calibri" w:hAnsi="Calibri"/>
                <w:color w:val="000000"/>
                <w:lang w:val="fr-FR"/>
              </w:rPr>
            </w:pPr>
          </w:p>
        </w:tc>
        <w:tc>
          <w:tcPr>
            <w:tcW w:w="2235" w:type="dxa"/>
            <w:tcBorders>
              <w:top w:val="nil"/>
              <w:left w:val="nil"/>
              <w:bottom w:val="nil"/>
              <w:right w:val="nil"/>
            </w:tcBorders>
            <w:shd w:val="clear" w:color="auto" w:fill="auto"/>
            <w:vAlign w:val="bottom"/>
            <w:hideMark/>
          </w:tcPr>
          <w:p w14:paraId="78CF8003" w14:textId="77777777" w:rsidR="00BF42D7" w:rsidRPr="00940CFD" w:rsidRDefault="00BF42D7" w:rsidP="003F62F1">
            <w:pPr>
              <w:rPr>
                <w:rFonts w:ascii="Calibri" w:hAnsi="Calibri"/>
                <w:color w:val="000000"/>
                <w:lang w:val="fr-FR"/>
              </w:rPr>
            </w:pPr>
          </w:p>
        </w:tc>
        <w:tc>
          <w:tcPr>
            <w:tcW w:w="2586" w:type="dxa"/>
            <w:tcBorders>
              <w:top w:val="nil"/>
              <w:left w:val="nil"/>
              <w:bottom w:val="nil"/>
              <w:right w:val="nil"/>
            </w:tcBorders>
            <w:shd w:val="clear" w:color="auto" w:fill="auto"/>
            <w:vAlign w:val="bottom"/>
            <w:hideMark/>
          </w:tcPr>
          <w:p w14:paraId="4B6EDA6A" w14:textId="77777777" w:rsidR="00BF42D7" w:rsidRPr="00940CFD" w:rsidRDefault="00BF42D7" w:rsidP="003F62F1">
            <w:pPr>
              <w:rPr>
                <w:rFonts w:ascii="Calibri" w:hAnsi="Calibri"/>
                <w:color w:val="000000"/>
                <w:lang w:val="fr-FR"/>
              </w:rPr>
            </w:pPr>
          </w:p>
        </w:tc>
      </w:tr>
    </w:tbl>
    <w:p w14:paraId="74C20002" w14:textId="77777777" w:rsidR="00EE558A" w:rsidRPr="001938C8" w:rsidRDefault="00FD5576" w:rsidP="001938C8">
      <w:pPr>
        <w:rPr>
          <w:lang w:val="fr-FR"/>
        </w:rPr>
      </w:pPr>
    </w:p>
    <w:sectPr w:rsidR="00EE558A" w:rsidRPr="001938C8" w:rsidSect="002E29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9DDA7" w14:textId="77777777" w:rsidR="00FD5576" w:rsidRDefault="00FD5576" w:rsidP="009C0DEA">
      <w:r>
        <w:separator/>
      </w:r>
    </w:p>
  </w:endnote>
  <w:endnote w:type="continuationSeparator" w:id="0">
    <w:p w14:paraId="3F35922C" w14:textId="77777777" w:rsidR="00FD5576" w:rsidRDefault="00FD5576" w:rsidP="009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98B3A" w14:textId="77777777" w:rsidR="00FD5576" w:rsidRDefault="00FD5576" w:rsidP="009C0DEA">
      <w:r>
        <w:separator/>
      </w:r>
    </w:p>
  </w:footnote>
  <w:footnote w:type="continuationSeparator" w:id="0">
    <w:p w14:paraId="28A1A61A" w14:textId="77777777" w:rsidR="00FD5576" w:rsidRDefault="00FD5576" w:rsidP="009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D7DC" w14:textId="77777777" w:rsidR="000D1B7B" w:rsidRDefault="00213DF3">
    <w:pPr>
      <w:pStyle w:val="En-tte"/>
      <w:rPr>
        <w:lang w:val="fr-FR"/>
      </w:rPr>
    </w:pPr>
    <w:r>
      <w:rPr>
        <w:lang w:val="fr-FR"/>
      </w:rPr>
      <w:t xml:space="preserve">III. Conditions Particulières du Contrat </w:t>
    </w:r>
    <w:r>
      <w:rPr>
        <w:lang w:val="fr-FR"/>
      </w:rPr>
      <w:tab/>
      <w:t>Au forfait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08C9" w14:textId="77777777" w:rsidR="000D1B7B" w:rsidRDefault="00213DF3">
    <w:pPr>
      <w:pStyle w:val="En-tte"/>
      <w:rPr>
        <w:lang w:val="fr-FR"/>
      </w:rPr>
    </w:pPr>
    <w:r>
      <w:rPr>
        <w:lang w:val="fr-FR"/>
      </w:rPr>
      <w:t xml:space="preserve">III. Conditions Particulières du Contrat </w:t>
    </w:r>
    <w:r>
      <w:rPr>
        <w:lang w:val="fr-FR"/>
      </w:rPr>
      <w:tab/>
      <w:t>Au forfait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392D" w14:textId="77777777" w:rsidR="000D1B7B" w:rsidRDefault="00213DF3">
    <w:pPr>
      <w:pStyle w:val="En-tte"/>
      <w:pBdr>
        <w:bottom w:val="single" w:sz="4" w:space="0" w:color="auto"/>
      </w:pBdr>
      <w:rPr>
        <w:lang w:val="fr-FR"/>
      </w:rPr>
    </w:pPr>
    <w:r>
      <w:rPr>
        <w:lang w:val="fr-FR"/>
      </w:rPr>
      <w:t xml:space="preserve">III. Conditions Particulières du Contrat </w:t>
    </w:r>
    <w:r>
      <w:rPr>
        <w:lang w:val="fr-FR"/>
      </w:rPr>
      <w:tab/>
      <w:t>Au forfait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2A3"/>
    <w:multiLevelType w:val="hybridMultilevel"/>
    <w:tmpl w:val="91FE679A"/>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 w15:restartNumberingAfterBreak="0">
    <w:nsid w:val="09F53A5A"/>
    <w:multiLevelType w:val="hybridMultilevel"/>
    <w:tmpl w:val="8DA0A96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AFA55CA"/>
    <w:multiLevelType w:val="hybridMultilevel"/>
    <w:tmpl w:val="FB8E42B4"/>
    <w:lvl w:ilvl="0" w:tplc="4AFAC0F6">
      <w:start w:val="1"/>
      <w:numFmt w:val="bullet"/>
      <w:lvlText w:val=""/>
      <w:lvlJc w:val="left"/>
      <w:pPr>
        <w:ind w:left="1440" w:hanging="360"/>
      </w:pPr>
      <w:rPr>
        <w:rFonts w:ascii="Wingdings" w:hAnsi="Wingdings" w:hint="default"/>
      </w:rPr>
    </w:lvl>
    <w:lvl w:ilvl="1" w:tplc="A1105670"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4" w15:restartNumberingAfterBreak="0">
    <w:nsid w:val="276F74C9"/>
    <w:multiLevelType w:val="hybridMultilevel"/>
    <w:tmpl w:val="3A14A0F0"/>
    <w:lvl w:ilvl="0" w:tplc="BBAE956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1240638C"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E80D47"/>
    <w:multiLevelType w:val="hybridMultilevel"/>
    <w:tmpl w:val="FBEC2DAA"/>
    <w:lvl w:ilvl="0" w:tplc="95E4B1C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30C6580B"/>
    <w:multiLevelType w:val="hybridMultilevel"/>
    <w:tmpl w:val="BEBA7B4A"/>
    <w:lvl w:ilvl="0" w:tplc="736A08B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556417"/>
    <w:multiLevelType w:val="multilevel"/>
    <w:tmpl w:val="F71E02F4"/>
    <w:lvl w:ilvl="0">
      <w:start w:val="1"/>
      <w:numFmt w:val="decimal"/>
      <w:lvlText w:val="%1."/>
      <w:lvlJc w:val="left"/>
      <w:pPr>
        <w:ind w:left="1080" w:hanging="360"/>
      </w:pPr>
      <w:rPr>
        <w:rFonts w:ascii="Times New Roman" w:eastAsia="Times New Roman" w:hAnsi="Times New Roman" w:cs="Times New Roman" w:hint="default"/>
        <w:b/>
        <w:strike w:val="0"/>
      </w:rPr>
    </w:lvl>
    <w:lvl w:ilvl="1">
      <w:start w:val="1"/>
      <w:numFmt w:val="lowerLetter"/>
      <w:lvlText w:val="%2."/>
      <w:lvlJc w:val="left"/>
      <w:pPr>
        <w:ind w:left="1080" w:hanging="360"/>
      </w:pPr>
      <w:rPr>
        <w:rFonts w:cs="Times New Roman" w:hint="default"/>
        <w:strike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15:restartNumberingAfterBreak="0">
    <w:nsid w:val="3DB74F7F"/>
    <w:multiLevelType w:val="hybridMultilevel"/>
    <w:tmpl w:val="F9107ABE"/>
    <w:lvl w:ilvl="0" w:tplc="A60CA8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0420B1"/>
    <w:multiLevelType w:val="hybridMultilevel"/>
    <w:tmpl w:val="DFFEAE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4F274587"/>
    <w:multiLevelType w:val="hybridMultilevel"/>
    <w:tmpl w:val="AB24391C"/>
    <w:lvl w:ilvl="0" w:tplc="040C0001">
      <w:start w:val="10"/>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207803"/>
    <w:multiLevelType w:val="hybridMultilevel"/>
    <w:tmpl w:val="BD4EDB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34F3384"/>
    <w:multiLevelType w:val="hybridMultilevel"/>
    <w:tmpl w:val="FCFCDF7C"/>
    <w:lvl w:ilvl="0" w:tplc="0966CDA0">
      <w:numFmt w:val="bullet"/>
      <w:lvlText w:val="-"/>
      <w:lvlJc w:val="left"/>
      <w:pPr>
        <w:ind w:left="720" w:hanging="360"/>
      </w:pPr>
      <w:rPr>
        <w:rFonts w:ascii="Times New Roman" w:eastAsia="Times New Roman" w:hAnsi="Times New Roman" w:hint="default"/>
      </w:rPr>
    </w:lvl>
    <w:lvl w:ilvl="1" w:tplc="2BD4F1D6" w:tentative="1">
      <w:start w:val="1"/>
      <w:numFmt w:val="bullet"/>
      <w:lvlText w:val="o"/>
      <w:lvlJc w:val="left"/>
      <w:pPr>
        <w:ind w:left="1440" w:hanging="360"/>
      </w:pPr>
      <w:rPr>
        <w:rFonts w:ascii="Courier New" w:hAnsi="Courier New" w:hint="default"/>
      </w:rPr>
    </w:lvl>
    <w:lvl w:ilvl="2" w:tplc="5568C94A" w:tentative="1">
      <w:start w:val="1"/>
      <w:numFmt w:val="bullet"/>
      <w:lvlText w:val=""/>
      <w:lvlJc w:val="left"/>
      <w:pPr>
        <w:ind w:left="2160" w:hanging="360"/>
      </w:pPr>
      <w:rPr>
        <w:rFonts w:ascii="Wingdings" w:hAnsi="Wingdings" w:hint="default"/>
      </w:rPr>
    </w:lvl>
    <w:lvl w:ilvl="3" w:tplc="B180244E" w:tentative="1">
      <w:start w:val="1"/>
      <w:numFmt w:val="bullet"/>
      <w:lvlText w:val=""/>
      <w:lvlJc w:val="left"/>
      <w:pPr>
        <w:ind w:left="2880" w:hanging="360"/>
      </w:pPr>
      <w:rPr>
        <w:rFonts w:ascii="Symbol" w:hAnsi="Symbol" w:hint="default"/>
      </w:rPr>
    </w:lvl>
    <w:lvl w:ilvl="4" w:tplc="18443BDA" w:tentative="1">
      <w:start w:val="1"/>
      <w:numFmt w:val="bullet"/>
      <w:lvlText w:val="o"/>
      <w:lvlJc w:val="left"/>
      <w:pPr>
        <w:ind w:left="3600" w:hanging="360"/>
      </w:pPr>
      <w:rPr>
        <w:rFonts w:ascii="Courier New" w:hAnsi="Courier New" w:hint="default"/>
      </w:rPr>
    </w:lvl>
    <w:lvl w:ilvl="5" w:tplc="62445D7A" w:tentative="1">
      <w:start w:val="1"/>
      <w:numFmt w:val="bullet"/>
      <w:lvlText w:val=""/>
      <w:lvlJc w:val="left"/>
      <w:pPr>
        <w:ind w:left="4320" w:hanging="360"/>
      </w:pPr>
      <w:rPr>
        <w:rFonts w:ascii="Wingdings" w:hAnsi="Wingdings" w:hint="default"/>
      </w:rPr>
    </w:lvl>
    <w:lvl w:ilvl="6" w:tplc="76841932" w:tentative="1">
      <w:start w:val="1"/>
      <w:numFmt w:val="bullet"/>
      <w:lvlText w:val=""/>
      <w:lvlJc w:val="left"/>
      <w:pPr>
        <w:ind w:left="5040" w:hanging="360"/>
      </w:pPr>
      <w:rPr>
        <w:rFonts w:ascii="Symbol" w:hAnsi="Symbol" w:hint="default"/>
      </w:rPr>
    </w:lvl>
    <w:lvl w:ilvl="7" w:tplc="F46C8FCA" w:tentative="1">
      <w:start w:val="1"/>
      <w:numFmt w:val="bullet"/>
      <w:lvlText w:val="o"/>
      <w:lvlJc w:val="left"/>
      <w:pPr>
        <w:ind w:left="5760" w:hanging="360"/>
      </w:pPr>
      <w:rPr>
        <w:rFonts w:ascii="Courier New" w:hAnsi="Courier New" w:hint="default"/>
      </w:rPr>
    </w:lvl>
    <w:lvl w:ilvl="8" w:tplc="99D61708" w:tentative="1">
      <w:start w:val="1"/>
      <w:numFmt w:val="bullet"/>
      <w:lvlText w:val=""/>
      <w:lvlJc w:val="left"/>
      <w:pPr>
        <w:ind w:left="6480" w:hanging="360"/>
      </w:pPr>
      <w:rPr>
        <w:rFonts w:ascii="Wingdings" w:hAnsi="Wingdings" w:hint="default"/>
      </w:rPr>
    </w:lvl>
  </w:abstractNum>
  <w:abstractNum w:abstractNumId="13" w15:restartNumberingAfterBreak="0">
    <w:nsid w:val="5532352F"/>
    <w:multiLevelType w:val="hybridMultilevel"/>
    <w:tmpl w:val="34F6183A"/>
    <w:lvl w:ilvl="0" w:tplc="02D03D50">
      <w:start w:val="1"/>
      <w:numFmt w:val="bullet"/>
      <w:lvlText w:val=""/>
      <w:lvlJc w:val="left"/>
      <w:pPr>
        <w:ind w:left="720" w:hanging="360"/>
      </w:pPr>
      <w:rPr>
        <w:rFonts w:ascii="Symbol" w:hAnsi="Symbol" w:hint="default"/>
      </w:rPr>
    </w:lvl>
    <w:lvl w:ilvl="1" w:tplc="A1D632D4">
      <w:start w:val="1"/>
      <w:numFmt w:val="bullet"/>
      <w:lvlText w:val="o"/>
      <w:lvlJc w:val="left"/>
      <w:pPr>
        <w:ind w:left="1440" w:hanging="360"/>
      </w:pPr>
      <w:rPr>
        <w:rFonts w:ascii="Courier New" w:hAnsi="Courier New" w:hint="default"/>
      </w:rPr>
    </w:lvl>
    <w:lvl w:ilvl="2" w:tplc="55A072D2" w:tentative="1">
      <w:start w:val="1"/>
      <w:numFmt w:val="bullet"/>
      <w:lvlText w:val=""/>
      <w:lvlJc w:val="left"/>
      <w:pPr>
        <w:ind w:left="2160" w:hanging="360"/>
      </w:pPr>
      <w:rPr>
        <w:rFonts w:ascii="Wingdings" w:hAnsi="Wingdings" w:hint="default"/>
      </w:rPr>
    </w:lvl>
    <w:lvl w:ilvl="3" w:tplc="58A2D776" w:tentative="1">
      <w:start w:val="1"/>
      <w:numFmt w:val="bullet"/>
      <w:lvlText w:val=""/>
      <w:lvlJc w:val="left"/>
      <w:pPr>
        <w:ind w:left="2880" w:hanging="360"/>
      </w:pPr>
      <w:rPr>
        <w:rFonts w:ascii="Symbol" w:hAnsi="Symbol" w:hint="default"/>
      </w:rPr>
    </w:lvl>
    <w:lvl w:ilvl="4" w:tplc="6C50C398" w:tentative="1">
      <w:start w:val="1"/>
      <w:numFmt w:val="bullet"/>
      <w:lvlText w:val="o"/>
      <w:lvlJc w:val="left"/>
      <w:pPr>
        <w:ind w:left="3600" w:hanging="360"/>
      </w:pPr>
      <w:rPr>
        <w:rFonts w:ascii="Courier New" w:hAnsi="Courier New" w:hint="default"/>
      </w:rPr>
    </w:lvl>
    <w:lvl w:ilvl="5" w:tplc="33247A46" w:tentative="1">
      <w:start w:val="1"/>
      <w:numFmt w:val="bullet"/>
      <w:lvlText w:val=""/>
      <w:lvlJc w:val="left"/>
      <w:pPr>
        <w:ind w:left="4320" w:hanging="360"/>
      </w:pPr>
      <w:rPr>
        <w:rFonts w:ascii="Wingdings" w:hAnsi="Wingdings" w:hint="default"/>
      </w:rPr>
    </w:lvl>
    <w:lvl w:ilvl="6" w:tplc="6D2A770E" w:tentative="1">
      <w:start w:val="1"/>
      <w:numFmt w:val="bullet"/>
      <w:lvlText w:val=""/>
      <w:lvlJc w:val="left"/>
      <w:pPr>
        <w:ind w:left="5040" w:hanging="360"/>
      </w:pPr>
      <w:rPr>
        <w:rFonts w:ascii="Symbol" w:hAnsi="Symbol" w:hint="default"/>
      </w:rPr>
    </w:lvl>
    <w:lvl w:ilvl="7" w:tplc="DCA0A824" w:tentative="1">
      <w:start w:val="1"/>
      <w:numFmt w:val="bullet"/>
      <w:lvlText w:val="o"/>
      <w:lvlJc w:val="left"/>
      <w:pPr>
        <w:ind w:left="5760" w:hanging="360"/>
      </w:pPr>
      <w:rPr>
        <w:rFonts w:ascii="Courier New" w:hAnsi="Courier New" w:hint="default"/>
      </w:rPr>
    </w:lvl>
    <w:lvl w:ilvl="8" w:tplc="0DA6D872" w:tentative="1">
      <w:start w:val="1"/>
      <w:numFmt w:val="bullet"/>
      <w:lvlText w:val=""/>
      <w:lvlJc w:val="left"/>
      <w:pPr>
        <w:ind w:left="6480" w:hanging="360"/>
      </w:pPr>
      <w:rPr>
        <w:rFonts w:ascii="Wingdings" w:hAnsi="Wingdings" w:hint="default"/>
      </w:rPr>
    </w:lvl>
  </w:abstractNum>
  <w:abstractNum w:abstractNumId="14" w15:restartNumberingAfterBreak="0">
    <w:nsid w:val="6047469F"/>
    <w:multiLevelType w:val="hybridMultilevel"/>
    <w:tmpl w:val="2424E188"/>
    <w:lvl w:ilvl="0" w:tplc="A5E02D8E">
      <w:numFmt w:val="bullet"/>
      <w:lvlText w:val=""/>
      <w:lvlJc w:val="left"/>
      <w:pPr>
        <w:ind w:left="790" w:hanging="360"/>
      </w:pPr>
      <w:rPr>
        <w:rFonts w:ascii="Symbol" w:eastAsiaTheme="minorHAnsi" w:hAnsi="Symbol" w:cstheme="minorBidi"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5" w15:restartNumberingAfterBreak="0">
    <w:nsid w:val="60805CED"/>
    <w:multiLevelType w:val="hybridMultilevel"/>
    <w:tmpl w:val="70803E46"/>
    <w:lvl w:ilvl="0" w:tplc="040C0001">
      <w:start w:val="1"/>
      <w:numFmt w:val="bullet"/>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16" w15:restartNumberingAfterBreak="0">
    <w:nsid w:val="66E0709C"/>
    <w:multiLevelType w:val="hybridMultilevel"/>
    <w:tmpl w:val="9E966B78"/>
    <w:lvl w:ilvl="0" w:tplc="C4DE001A">
      <w:start w:val="3"/>
      <w:numFmt w:val="bullet"/>
      <w:lvlText w:val="-"/>
      <w:lvlJc w:val="left"/>
      <w:pPr>
        <w:ind w:left="720" w:hanging="360"/>
      </w:pPr>
      <w:rPr>
        <w:rFonts w:ascii="Times New Roman" w:eastAsia="Times New Roman" w:hAnsi="Times New Roman" w:hint="default"/>
      </w:rPr>
    </w:lvl>
    <w:lvl w:ilvl="1" w:tplc="23A83824">
      <w:start w:val="1"/>
      <w:numFmt w:val="bullet"/>
      <w:lvlText w:val="o"/>
      <w:lvlJc w:val="left"/>
      <w:pPr>
        <w:ind w:left="1440" w:hanging="360"/>
      </w:pPr>
      <w:rPr>
        <w:rFonts w:ascii="Courier New" w:hAnsi="Courier New" w:hint="default"/>
      </w:rPr>
    </w:lvl>
    <w:lvl w:ilvl="2" w:tplc="2B28EF2A" w:tentative="1">
      <w:start w:val="1"/>
      <w:numFmt w:val="bullet"/>
      <w:lvlText w:val=""/>
      <w:lvlJc w:val="left"/>
      <w:pPr>
        <w:ind w:left="2160" w:hanging="360"/>
      </w:pPr>
      <w:rPr>
        <w:rFonts w:ascii="Wingdings" w:hAnsi="Wingdings" w:hint="default"/>
      </w:rPr>
    </w:lvl>
    <w:lvl w:ilvl="3" w:tplc="BA700678" w:tentative="1">
      <w:start w:val="1"/>
      <w:numFmt w:val="bullet"/>
      <w:lvlText w:val=""/>
      <w:lvlJc w:val="left"/>
      <w:pPr>
        <w:ind w:left="2880" w:hanging="360"/>
      </w:pPr>
      <w:rPr>
        <w:rFonts w:ascii="Symbol" w:hAnsi="Symbol" w:hint="default"/>
      </w:rPr>
    </w:lvl>
    <w:lvl w:ilvl="4" w:tplc="A1C0AF46" w:tentative="1">
      <w:start w:val="1"/>
      <w:numFmt w:val="bullet"/>
      <w:lvlText w:val="o"/>
      <w:lvlJc w:val="left"/>
      <w:pPr>
        <w:ind w:left="3600" w:hanging="360"/>
      </w:pPr>
      <w:rPr>
        <w:rFonts w:ascii="Courier New" w:hAnsi="Courier New" w:hint="default"/>
      </w:rPr>
    </w:lvl>
    <w:lvl w:ilvl="5" w:tplc="91304D4C" w:tentative="1">
      <w:start w:val="1"/>
      <w:numFmt w:val="bullet"/>
      <w:lvlText w:val=""/>
      <w:lvlJc w:val="left"/>
      <w:pPr>
        <w:ind w:left="4320" w:hanging="360"/>
      </w:pPr>
      <w:rPr>
        <w:rFonts w:ascii="Wingdings" w:hAnsi="Wingdings" w:hint="default"/>
      </w:rPr>
    </w:lvl>
    <w:lvl w:ilvl="6" w:tplc="DD7C835E" w:tentative="1">
      <w:start w:val="1"/>
      <w:numFmt w:val="bullet"/>
      <w:lvlText w:val=""/>
      <w:lvlJc w:val="left"/>
      <w:pPr>
        <w:ind w:left="5040" w:hanging="360"/>
      </w:pPr>
      <w:rPr>
        <w:rFonts w:ascii="Symbol" w:hAnsi="Symbol" w:hint="default"/>
      </w:rPr>
    </w:lvl>
    <w:lvl w:ilvl="7" w:tplc="1206EC9E" w:tentative="1">
      <w:start w:val="1"/>
      <w:numFmt w:val="bullet"/>
      <w:lvlText w:val="o"/>
      <w:lvlJc w:val="left"/>
      <w:pPr>
        <w:ind w:left="5760" w:hanging="360"/>
      </w:pPr>
      <w:rPr>
        <w:rFonts w:ascii="Courier New" w:hAnsi="Courier New" w:hint="default"/>
      </w:rPr>
    </w:lvl>
    <w:lvl w:ilvl="8" w:tplc="EBF2696A" w:tentative="1">
      <w:start w:val="1"/>
      <w:numFmt w:val="bullet"/>
      <w:lvlText w:val=""/>
      <w:lvlJc w:val="left"/>
      <w:pPr>
        <w:ind w:left="6480" w:hanging="360"/>
      </w:pPr>
      <w:rPr>
        <w:rFonts w:ascii="Wingdings" w:hAnsi="Wingdings" w:hint="default"/>
      </w:rPr>
    </w:lvl>
  </w:abstractNum>
  <w:abstractNum w:abstractNumId="17" w15:restartNumberingAfterBreak="0">
    <w:nsid w:val="74412A39"/>
    <w:multiLevelType w:val="hybridMultilevel"/>
    <w:tmpl w:val="F500C5E0"/>
    <w:lvl w:ilvl="0" w:tplc="5E323630">
      <w:start w:val="1"/>
      <w:numFmt w:val="bullet"/>
      <w:lvlText w:val=""/>
      <w:lvlJc w:val="left"/>
      <w:pPr>
        <w:ind w:left="720" w:hanging="360"/>
      </w:pPr>
      <w:rPr>
        <w:rFonts w:ascii="Symbol" w:hAnsi="Symbol" w:hint="default"/>
      </w:rPr>
    </w:lvl>
    <w:lvl w:ilvl="1" w:tplc="25C8D594" w:tentative="1">
      <w:start w:val="1"/>
      <w:numFmt w:val="bullet"/>
      <w:lvlText w:val="o"/>
      <w:lvlJc w:val="left"/>
      <w:pPr>
        <w:ind w:left="1440" w:hanging="360"/>
      </w:pPr>
      <w:rPr>
        <w:rFonts w:ascii="Courier New" w:hAnsi="Courier New" w:cs="Courier New" w:hint="default"/>
      </w:rPr>
    </w:lvl>
    <w:lvl w:ilvl="2" w:tplc="226AAC46" w:tentative="1">
      <w:start w:val="1"/>
      <w:numFmt w:val="bullet"/>
      <w:lvlText w:val=""/>
      <w:lvlJc w:val="left"/>
      <w:pPr>
        <w:ind w:left="2160" w:hanging="360"/>
      </w:pPr>
      <w:rPr>
        <w:rFonts w:ascii="Wingdings" w:hAnsi="Wingdings" w:hint="default"/>
      </w:rPr>
    </w:lvl>
    <w:lvl w:ilvl="3" w:tplc="7C18067A" w:tentative="1">
      <w:start w:val="1"/>
      <w:numFmt w:val="bullet"/>
      <w:lvlText w:val=""/>
      <w:lvlJc w:val="left"/>
      <w:pPr>
        <w:ind w:left="2880" w:hanging="360"/>
      </w:pPr>
      <w:rPr>
        <w:rFonts w:ascii="Symbol" w:hAnsi="Symbol" w:hint="default"/>
      </w:rPr>
    </w:lvl>
    <w:lvl w:ilvl="4" w:tplc="E61432E8" w:tentative="1">
      <w:start w:val="1"/>
      <w:numFmt w:val="bullet"/>
      <w:lvlText w:val="o"/>
      <w:lvlJc w:val="left"/>
      <w:pPr>
        <w:ind w:left="3600" w:hanging="360"/>
      </w:pPr>
      <w:rPr>
        <w:rFonts w:ascii="Courier New" w:hAnsi="Courier New" w:cs="Courier New" w:hint="default"/>
      </w:rPr>
    </w:lvl>
    <w:lvl w:ilvl="5" w:tplc="6824A7B4" w:tentative="1">
      <w:start w:val="1"/>
      <w:numFmt w:val="bullet"/>
      <w:lvlText w:val=""/>
      <w:lvlJc w:val="left"/>
      <w:pPr>
        <w:ind w:left="4320" w:hanging="360"/>
      </w:pPr>
      <w:rPr>
        <w:rFonts w:ascii="Wingdings" w:hAnsi="Wingdings" w:hint="default"/>
      </w:rPr>
    </w:lvl>
    <w:lvl w:ilvl="6" w:tplc="4EA2198E" w:tentative="1">
      <w:start w:val="1"/>
      <w:numFmt w:val="bullet"/>
      <w:lvlText w:val=""/>
      <w:lvlJc w:val="left"/>
      <w:pPr>
        <w:ind w:left="5040" w:hanging="360"/>
      </w:pPr>
      <w:rPr>
        <w:rFonts w:ascii="Symbol" w:hAnsi="Symbol" w:hint="default"/>
      </w:rPr>
    </w:lvl>
    <w:lvl w:ilvl="7" w:tplc="9C863F6C" w:tentative="1">
      <w:start w:val="1"/>
      <w:numFmt w:val="bullet"/>
      <w:lvlText w:val="o"/>
      <w:lvlJc w:val="left"/>
      <w:pPr>
        <w:ind w:left="5760" w:hanging="360"/>
      </w:pPr>
      <w:rPr>
        <w:rFonts w:ascii="Courier New" w:hAnsi="Courier New" w:cs="Courier New" w:hint="default"/>
      </w:rPr>
    </w:lvl>
    <w:lvl w:ilvl="8" w:tplc="6AE8AEAE" w:tentative="1">
      <w:start w:val="1"/>
      <w:numFmt w:val="bullet"/>
      <w:lvlText w:val=""/>
      <w:lvlJc w:val="left"/>
      <w:pPr>
        <w:ind w:left="6480" w:hanging="360"/>
      </w:pPr>
      <w:rPr>
        <w:rFonts w:ascii="Wingdings" w:hAnsi="Wingdings" w:hint="default"/>
      </w:rPr>
    </w:lvl>
  </w:abstractNum>
  <w:abstractNum w:abstractNumId="18" w15:restartNumberingAfterBreak="0">
    <w:nsid w:val="7470437B"/>
    <w:multiLevelType w:val="hybridMultilevel"/>
    <w:tmpl w:val="615C9DEA"/>
    <w:lvl w:ilvl="0" w:tplc="040C0005">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7"/>
  </w:num>
  <w:num w:numId="4">
    <w:abstractNumId w:val="6"/>
  </w:num>
  <w:num w:numId="5">
    <w:abstractNumId w:val="18"/>
  </w:num>
  <w:num w:numId="6">
    <w:abstractNumId w:val="13"/>
  </w:num>
  <w:num w:numId="7">
    <w:abstractNumId w:val="16"/>
  </w:num>
  <w:num w:numId="8">
    <w:abstractNumId w:val="12"/>
  </w:num>
  <w:num w:numId="9">
    <w:abstractNumId w:val="4"/>
  </w:num>
  <w:num w:numId="10">
    <w:abstractNumId w:val="17"/>
  </w:num>
  <w:num w:numId="11">
    <w:abstractNumId w:val="3"/>
  </w:num>
  <w:num w:numId="12">
    <w:abstractNumId w:val="2"/>
  </w:num>
  <w:num w:numId="13">
    <w:abstractNumId w:val="11"/>
  </w:num>
  <w:num w:numId="14">
    <w:abstractNumId w:val="15"/>
  </w:num>
  <w:num w:numId="15">
    <w:abstractNumId w:val="1"/>
  </w:num>
  <w:num w:numId="16">
    <w:abstractNumId w:val="8"/>
  </w:num>
  <w:num w:numId="17">
    <w:abstractNumId w:val="0"/>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D7"/>
    <w:rsid w:val="0000711E"/>
    <w:rsid w:val="00014027"/>
    <w:rsid w:val="000152C2"/>
    <w:rsid w:val="0002647F"/>
    <w:rsid w:val="0005436C"/>
    <w:rsid w:val="00063227"/>
    <w:rsid w:val="00080FC4"/>
    <w:rsid w:val="000872A4"/>
    <w:rsid w:val="00095800"/>
    <w:rsid w:val="000B3474"/>
    <w:rsid w:val="000E36DC"/>
    <w:rsid w:val="001025DA"/>
    <w:rsid w:val="00115340"/>
    <w:rsid w:val="00123B7D"/>
    <w:rsid w:val="00143481"/>
    <w:rsid w:val="00147ED4"/>
    <w:rsid w:val="001938C8"/>
    <w:rsid w:val="001E01EE"/>
    <w:rsid w:val="001E0FF0"/>
    <w:rsid w:val="00213DF3"/>
    <w:rsid w:val="0023031D"/>
    <w:rsid w:val="00230350"/>
    <w:rsid w:val="002521B7"/>
    <w:rsid w:val="002567CA"/>
    <w:rsid w:val="00265ADC"/>
    <w:rsid w:val="00270142"/>
    <w:rsid w:val="00274E51"/>
    <w:rsid w:val="00286DCF"/>
    <w:rsid w:val="002A7408"/>
    <w:rsid w:val="002B5C02"/>
    <w:rsid w:val="002D431F"/>
    <w:rsid w:val="002E29C0"/>
    <w:rsid w:val="00334E7F"/>
    <w:rsid w:val="00341C12"/>
    <w:rsid w:val="00342192"/>
    <w:rsid w:val="003462F0"/>
    <w:rsid w:val="00346CB0"/>
    <w:rsid w:val="0035298E"/>
    <w:rsid w:val="00366054"/>
    <w:rsid w:val="00387D5A"/>
    <w:rsid w:val="003A1E9A"/>
    <w:rsid w:val="003C7F36"/>
    <w:rsid w:val="003D16C3"/>
    <w:rsid w:val="00400BCB"/>
    <w:rsid w:val="00417F3F"/>
    <w:rsid w:val="00494DD6"/>
    <w:rsid w:val="004B7CB9"/>
    <w:rsid w:val="004F714D"/>
    <w:rsid w:val="00511DA0"/>
    <w:rsid w:val="00522BBB"/>
    <w:rsid w:val="005779A0"/>
    <w:rsid w:val="00696EDD"/>
    <w:rsid w:val="007079E4"/>
    <w:rsid w:val="007206CB"/>
    <w:rsid w:val="007538E5"/>
    <w:rsid w:val="007852CA"/>
    <w:rsid w:val="0079612B"/>
    <w:rsid w:val="00797BF5"/>
    <w:rsid w:val="007C12E1"/>
    <w:rsid w:val="007C5BEA"/>
    <w:rsid w:val="007E4304"/>
    <w:rsid w:val="007F05F7"/>
    <w:rsid w:val="008B046F"/>
    <w:rsid w:val="008C4C06"/>
    <w:rsid w:val="008E2158"/>
    <w:rsid w:val="00914AF5"/>
    <w:rsid w:val="00924713"/>
    <w:rsid w:val="00927E80"/>
    <w:rsid w:val="00980E82"/>
    <w:rsid w:val="0099701E"/>
    <w:rsid w:val="009C0924"/>
    <w:rsid w:val="009C0DEA"/>
    <w:rsid w:val="009D638E"/>
    <w:rsid w:val="00A41AE2"/>
    <w:rsid w:val="00A45B7A"/>
    <w:rsid w:val="00A741CC"/>
    <w:rsid w:val="00A910AF"/>
    <w:rsid w:val="00AD620D"/>
    <w:rsid w:val="00AD7573"/>
    <w:rsid w:val="00B00EC9"/>
    <w:rsid w:val="00B0430C"/>
    <w:rsid w:val="00B175D9"/>
    <w:rsid w:val="00B40833"/>
    <w:rsid w:val="00B50730"/>
    <w:rsid w:val="00BA7C8A"/>
    <w:rsid w:val="00BB629F"/>
    <w:rsid w:val="00BF3921"/>
    <w:rsid w:val="00BF42D7"/>
    <w:rsid w:val="00C51FCA"/>
    <w:rsid w:val="00C567A9"/>
    <w:rsid w:val="00C70C12"/>
    <w:rsid w:val="00CE397B"/>
    <w:rsid w:val="00CF1B07"/>
    <w:rsid w:val="00D055D1"/>
    <w:rsid w:val="00D25DAA"/>
    <w:rsid w:val="00D41800"/>
    <w:rsid w:val="00D54FD8"/>
    <w:rsid w:val="00D635F1"/>
    <w:rsid w:val="00D70E3B"/>
    <w:rsid w:val="00D74773"/>
    <w:rsid w:val="00DB3165"/>
    <w:rsid w:val="00DC2F2A"/>
    <w:rsid w:val="00DF6543"/>
    <w:rsid w:val="00E40AC5"/>
    <w:rsid w:val="00E42AFE"/>
    <w:rsid w:val="00E47254"/>
    <w:rsid w:val="00E509CE"/>
    <w:rsid w:val="00E86F76"/>
    <w:rsid w:val="00EB136E"/>
    <w:rsid w:val="00EC581D"/>
    <w:rsid w:val="00ED0E5E"/>
    <w:rsid w:val="00F2661B"/>
    <w:rsid w:val="00F27BFC"/>
    <w:rsid w:val="00F82392"/>
    <w:rsid w:val="00F87E2D"/>
    <w:rsid w:val="00FA56FF"/>
    <w:rsid w:val="00FA666F"/>
    <w:rsid w:val="00FD55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73B7"/>
  <w15:docId w15:val="{95077E5D-9F53-4B07-B458-67CE1A6B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2D7"/>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BF42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link w:val="ParagraphedelisteChar"/>
    <w:qFormat/>
    <w:rsid w:val="00BF42D7"/>
    <w:pPr>
      <w:ind w:left="720"/>
      <w:contextualSpacing/>
    </w:pPr>
  </w:style>
  <w:style w:type="character" w:customStyle="1" w:styleId="ParagraphedelisteChar">
    <w:name w:val="Paragraphe de liste Char"/>
    <w:link w:val="Paragraphedeliste1"/>
    <w:rsid w:val="00BF42D7"/>
    <w:rPr>
      <w:rFonts w:ascii="Times New Roman" w:eastAsia="Times New Roman" w:hAnsi="Times New Roman" w:cs="Times New Roman"/>
      <w:sz w:val="24"/>
      <w:szCs w:val="24"/>
      <w:lang w:val="en-US"/>
    </w:rPr>
  </w:style>
  <w:style w:type="paragraph" w:styleId="En-tte">
    <w:name w:val="header"/>
    <w:aliases w:val="Kopfzeile Char Char, Char Char Char"/>
    <w:basedOn w:val="Normal"/>
    <w:link w:val="En-tteCar1"/>
    <w:uiPriority w:val="99"/>
    <w:rsid w:val="00BF42D7"/>
    <w:pPr>
      <w:pBdr>
        <w:bottom w:val="single" w:sz="4" w:space="1" w:color="auto"/>
      </w:pBdr>
      <w:tabs>
        <w:tab w:val="right" w:pos="9000"/>
      </w:tabs>
      <w:ind w:right="73"/>
    </w:pPr>
    <w:rPr>
      <w:sz w:val="20"/>
      <w:szCs w:val="20"/>
    </w:rPr>
  </w:style>
  <w:style w:type="character" w:customStyle="1" w:styleId="En-tteCar">
    <w:name w:val="En-tête Car"/>
    <w:basedOn w:val="Policepardfaut"/>
    <w:uiPriority w:val="99"/>
    <w:semiHidden/>
    <w:rsid w:val="00BF42D7"/>
    <w:rPr>
      <w:rFonts w:ascii="Times New Roman" w:eastAsia="Times New Roman" w:hAnsi="Times New Roman" w:cs="Times New Roman"/>
      <w:sz w:val="24"/>
      <w:szCs w:val="24"/>
      <w:lang w:val="en-US"/>
    </w:rPr>
  </w:style>
  <w:style w:type="character" w:customStyle="1" w:styleId="En-tteCar1">
    <w:name w:val="En-tête Car1"/>
    <w:aliases w:val="Kopfzeile Char Char Car, Char Char Char Car"/>
    <w:link w:val="En-tte"/>
    <w:uiPriority w:val="99"/>
    <w:locked/>
    <w:rsid w:val="00BF42D7"/>
    <w:rPr>
      <w:rFonts w:ascii="Times New Roman" w:eastAsia="Times New Roman" w:hAnsi="Times New Roman" w:cs="Times New Roman"/>
      <w:sz w:val="20"/>
      <w:szCs w:val="20"/>
      <w:lang w:val="en-US"/>
    </w:rPr>
  </w:style>
  <w:style w:type="paragraph" w:styleId="Paragraphedeliste">
    <w:name w:val="List Paragraph"/>
    <w:aliases w:val="List Paragraph nowy,References,Liste 1,List Paragraph1,List Paragraph (numbered (a)),List Bullet Mary,Bullet L1,style3,Paragraphe  revu,Paragraphe de liste rapport atelier Mada,Numbered List Paragraph"/>
    <w:basedOn w:val="Normal"/>
    <w:link w:val="ParagraphedelisteCar"/>
    <w:uiPriority w:val="34"/>
    <w:qFormat/>
    <w:rsid w:val="00BF42D7"/>
    <w:pPr>
      <w:ind w:left="720"/>
    </w:pPr>
  </w:style>
  <w:style w:type="character" w:customStyle="1" w:styleId="ParagraphedelisteCar">
    <w:name w:val="Paragraphe de liste Car"/>
    <w:aliases w:val="List Paragraph nowy Car,References Car,Liste 1 Car,List Paragraph1 Car,List Paragraph (numbered (a)) Car,List Bullet Mary Car,Bullet L1 Car,style3 Car,Paragraphe  revu Car,Paragraphe de liste rapport atelier Mada Car"/>
    <w:basedOn w:val="Policepardfaut"/>
    <w:link w:val="Paragraphedeliste"/>
    <w:uiPriority w:val="34"/>
    <w:qFormat/>
    <w:rsid w:val="00BF42D7"/>
    <w:rPr>
      <w:rFonts w:ascii="Times New Roman" w:eastAsia="Times New Roman" w:hAnsi="Times New Roman" w:cs="Times New Roman"/>
      <w:sz w:val="24"/>
      <w:szCs w:val="24"/>
      <w:lang w:val="en-US"/>
    </w:rPr>
  </w:style>
  <w:style w:type="paragraph" w:customStyle="1" w:styleId="Style9">
    <w:name w:val="Style9"/>
    <w:basedOn w:val="Titre1"/>
    <w:link w:val="Style9Char"/>
    <w:qFormat/>
    <w:rsid w:val="00BF42D7"/>
    <w:pPr>
      <w:spacing w:after="240"/>
      <w:ind w:left="720" w:hanging="360"/>
      <w:jc w:val="center"/>
    </w:pPr>
    <w:rPr>
      <w:rFonts w:ascii="Times New Roman Bold" w:eastAsia="Times New Roman" w:hAnsi="Times New Roman Bold" w:cs="Times New Roman"/>
      <w:b/>
      <w:color w:val="auto"/>
      <w:szCs w:val="20"/>
    </w:rPr>
  </w:style>
  <w:style w:type="character" w:customStyle="1" w:styleId="Style9Char">
    <w:name w:val="Style9 Char"/>
    <w:basedOn w:val="Policepardfaut"/>
    <w:link w:val="Style9"/>
    <w:rsid w:val="00BF42D7"/>
    <w:rPr>
      <w:rFonts w:ascii="Times New Roman Bold" w:eastAsia="Times New Roman" w:hAnsi="Times New Roman Bold" w:cs="Times New Roman"/>
      <w:b/>
      <w:sz w:val="32"/>
      <w:szCs w:val="20"/>
      <w:lang w:val="en-US"/>
    </w:rPr>
  </w:style>
  <w:style w:type="paragraph" w:customStyle="1" w:styleId="Style11">
    <w:name w:val="Style11"/>
    <w:basedOn w:val="Normal"/>
    <w:link w:val="Style11Char"/>
    <w:qFormat/>
    <w:rsid w:val="00BF42D7"/>
    <w:pPr>
      <w:tabs>
        <w:tab w:val="left" w:pos="360"/>
      </w:tabs>
      <w:ind w:left="360"/>
      <w:contextualSpacing/>
      <w:jc w:val="center"/>
      <w:outlineLvl w:val="1"/>
    </w:pPr>
    <w:rPr>
      <w:b/>
      <w:bCs/>
      <w:smallCaps/>
      <w:lang w:val="en-GB"/>
    </w:rPr>
  </w:style>
  <w:style w:type="character" w:customStyle="1" w:styleId="Style11Char">
    <w:name w:val="Style11 Char"/>
    <w:basedOn w:val="Policepardfaut"/>
    <w:link w:val="Style11"/>
    <w:rsid w:val="00BF42D7"/>
    <w:rPr>
      <w:rFonts w:ascii="Times New Roman" w:eastAsia="Times New Roman" w:hAnsi="Times New Roman" w:cs="Times New Roman"/>
      <w:b/>
      <w:bCs/>
      <w:smallCaps/>
      <w:sz w:val="24"/>
      <w:szCs w:val="24"/>
      <w:lang w:val="en-GB"/>
    </w:rPr>
  </w:style>
  <w:style w:type="paragraph" w:customStyle="1" w:styleId="Prrafodelista">
    <w:name w:val="Párrafo de lista"/>
    <w:aliases w:val="Bullets,Liste couleur - Accent 11"/>
    <w:basedOn w:val="Normal"/>
    <w:link w:val="PrrafodelistaCar"/>
    <w:rsid w:val="00BF42D7"/>
    <w:pPr>
      <w:ind w:left="720"/>
      <w:contextualSpacing/>
      <w:jc w:val="both"/>
    </w:pPr>
    <w:rPr>
      <w:rFonts w:ascii="Cambria" w:eastAsia="MS Mincho" w:hAnsi="Cambria"/>
      <w:sz w:val="20"/>
      <w:szCs w:val="20"/>
      <w:lang w:val="fr-FR" w:eastAsia="es-ES"/>
    </w:rPr>
  </w:style>
  <w:style w:type="character" w:customStyle="1" w:styleId="PrrafodelistaCar">
    <w:name w:val="Párrafo de lista Car"/>
    <w:aliases w:val="Bullets Car,Liste couleur - Accent 11 Car"/>
    <w:link w:val="Prrafodelista"/>
    <w:locked/>
    <w:rsid w:val="00BF42D7"/>
    <w:rPr>
      <w:rFonts w:ascii="Cambria" w:eastAsia="MS Mincho" w:hAnsi="Cambria" w:cs="Times New Roman"/>
      <w:sz w:val="20"/>
      <w:szCs w:val="20"/>
      <w:lang w:eastAsia="es-ES"/>
    </w:rPr>
  </w:style>
  <w:style w:type="character" w:customStyle="1" w:styleId="Titre1Car">
    <w:name w:val="Titre 1 Car"/>
    <w:basedOn w:val="Policepardfaut"/>
    <w:link w:val="Titre1"/>
    <w:uiPriority w:val="9"/>
    <w:rsid w:val="00BF42D7"/>
    <w:rPr>
      <w:rFonts w:asciiTheme="majorHAnsi" w:eastAsiaTheme="majorEastAsia" w:hAnsiTheme="majorHAnsi" w:cstheme="majorBidi"/>
      <w:color w:val="2E74B5" w:themeColor="accent1" w:themeShade="BF"/>
      <w:sz w:val="32"/>
      <w:szCs w:val="32"/>
      <w:lang w:val="en-US"/>
    </w:rPr>
  </w:style>
  <w:style w:type="paragraph" w:styleId="Textedebulles">
    <w:name w:val="Balloon Text"/>
    <w:basedOn w:val="Normal"/>
    <w:link w:val="TextedebullesCar"/>
    <w:uiPriority w:val="99"/>
    <w:semiHidden/>
    <w:unhideWhenUsed/>
    <w:rsid w:val="00E40AC5"/>
    <w:rPr>
      <w:rFonts w:ascii="Tahoma" w:hAnsi="Tahoma" w:cs="Tahoma"/>
      <w:sz w:val="16"/>
      <w:szCs w:val="16"/>
    </w:rPr>
  </w:style>
  <w:style w:type="character" w:customStyle="1" w:styleId="TextedebullesCar">
    <w:name w:val="Texte de bulles Car"/>
    <w:basedOn w:val="Policepardfaut"/>
    <w:link w:val="Textedebulles"/>
    <w:uiPriority w:val="99"/>
    <w:semiHidden/>
    <w:rsid w:val="00E40AC5"/>
    <w:rPr>
      <w:rFonts w:ascii="Tahoma" w:eastAsia="Times New Roman" w:hAnsi="Tahoma" w:cs="Tahoma"/>
      <w:sz w:val="16"/>
      <w:szCs w:val="16"/>
      <w:lang w:val="en-US"/>
    </w:rPr>
  </w:style>
  <w:style w:type="character" w:styleId="Marquedecommentaire">
    <w:name w:val="annotation reference"/>
    <w:basedOn w:val="Policepardfaut"/>
    <w:uiPriority w:val="99"/>
    <w:semiHidden/>
    <w:unhideWhenUsed/>
    <w:rsid w:val="00C51FCA"/>
    <w:rPr>
      <w:sz w:val="16"/>
      <w:szCs w:val="16"/>
    </w:rPr>
  </w:style>
  <w:style w:type="paragraph" w:styleId="Commentaire">
    <w:name w:val="annotation text"/>
    <w:basedOn w:val="Normal"/>
    <w:link w:val="CommentaireCar"/>
    <w:uiPriority w:val="99"/>
    <w:semiHidden/>
    <w:unhideWhenUsed/>
    <w:rsid w:val="00C51FCA"/>
    <w:rPr>
      <w:sz w:val="20"/>
      <w:szCs w:val="20"/>
    </w:rPr>
  </w:style>
  <w:style w:type="character" w:customStyle="1" w:styleId="CommentaireCar">
    <w:name w:val="Commentaire Car"/>
    <w:basedOn w:val="Policepardfaut"/>
    <w:link w:val="Commentaire"/>
    <w:uiPriority w:val="99"/>
    <w:semiHidden/>
    <w:rsid w:val="00C51FCA"/>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C51FCA"/>
    <w:rPr>
      <w:b/>
      <w:bCs/>
    </w:rPr>
  </w:style>
  <w:style w:type="character" w:customStyle="1" w:styleId="ObjetducommentaireCar">
    <w:name w:val="Objet du commentaire Car"/>
    <w:basedOn w:val="CommentaireCar"/>
    <w:link w:val="Objetducommentaire"/>
    <w:uiPriority w:val="99"/>
    <w:semiHidden/>
    <w:rsid w:val="00C51FCA"/>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F27BFC"/>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1127</Words>
  <Characters>6202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dc:creator>
  <cp:lastModifiedBy>User</cp:lastModifiedBy>
  <cp:revision>2</cp:revision>
  <dcterms:created xsi:type="dcterms:W3CDTF">2019-12-16T13:05:00Z</dcterms:created>
  <dcterms:modified xsi:type="dcterms:W3CDTF">2019-12-16T13:05:00Z</dcterms:modified>
</cp:coreProperties>
</file>