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3457" w14:textId="77777777" w:rsidR="00C13497" w:rsidRDefault="003772CF">
      <w:pPr>
        <w:pBdr>
          <w:top w:val="single" w:sz="4" w:space="1" w:color="000000"/>
          <w:left w:val="single" w:sz="4" w:space="4" w:color="000000"/>
          <w:bottom w:val="single" w:sz="4" w:space="1" w:color="000000"/>
          <w:right w:val="single" w:sz="4" w:space="4" w:color="000000"/>
        </w:pBdr>
        <w:shd w:val="clear" w:color="auto" w:fill="E2EFD9" w:themeFill="accent6" w:themeFillTint="33"/>
        <w:jc w:val="center"/>
        <w:outlineLvl w:val="0"/>
        <w:rPr>
          <w:b/>
          <w:sz w:val="22"/>
          <w:szCs w:val="22"/>
        </w:rPr>
      </w:pPr>
      <w:bookmarkStart w:id="0" w:name="_GoBack"/>
      <w:bookmarkEnd w:id="0"/>
      <w:r>
        <w:rPr>
          <w:b/>
          <w:sz w:val="22"/>
          <w:szCs w:val="22"/>
        </w:rPr>
        <w:t>TERMES DE REFERENCE</w:t>
      </w:r>
    </w:p>
    <w:p w14:paraId="5031C0C6" w14:textId="77777777" w:rsidR="00C13497" w:rsidRDefault="003772CF">
      <w:pPr>
        <w:pBdr>
          <w:top w:val="single" w:sz="4" w:space="1" w:color="000000"/>
          <w:left w:val="single" w:sz="4" w:space="4" w:color="000000"/>
          <w:bottom w:val="single" w:sz="4" w:space="1" w:color="000000"/>
          <w:right w:val="single" w:sz="4" w:space="4" w:color="000000"/>
        </w:pBdr>
        <w:shd w:val="clear" w:color="auto" w:fill="E2EFD9" w:themeFill="accent6" w:themeFillTint="33"/>
        <w:jc w:val="center"/>
        <w:rPr>
          <w:b/>
          <w:sz w:val="22"/>
          <w:szCs w:val="22"/>
        </w:rPr>
      </w:pPr>
      <w:r>
        <w:rPr>
          <w:b/>
          <w:sz w:val="22"/>
          <w:szCs w:val="22"/>
        </w:rPr>
        <w:t xml:space="preserve">Prestataires de Service pour le Programme de Transfert Monétaire aux bénéficiaires de Filets de Sécurités Sociaux en Argent Contre Travail Productif (ACTP) et en Transfert Monétaire pour le Développement Humain (TMDH) du Fonds d’Intervention pour le Développement </w:t>
      </w:r>
    </w:p>
    <w:p w14:paraId="1FBD5D99" w14:textId="77777777" w:rsidR="00C13497" w:rsidRDefault="003772CF">
      <w:pPr>
        <w:pBdr>
          <w:top w:val="single" w:sz="4" w:space="1" w:color="000000"/>
          <w:left w:val="single" w:sz="4" w:space="4" w:color="000000"/>
          <w:bottom w:val="single" w:sz="4" w:space="1" w:color="000000"/>
          <w:right w:val="single" w:sz="4" w:space="4" w:color="000000"/>
        </w:pBdr>
        <w:shd w:val="clear" w:color="auto" w:fill="E2EFD9" w:themeFill="accent6" w:themeFillTint="33"/>
        <w:jc w:val="center"/>
        <w:rPr>
          <w:b/>
          <w:sz w:val="22"/>
          <w:szCs w:val="22"/>
        </w:rPr>
      </w:pPr>
      <w:r>
        <w:rPr>
          <w:b/>
          <w:sz w:val="22"/>
          <w:szCs w:val="22"/>
        </w:rPr>
        <w:t>(AGENCE DE PAIEMENT)</w:t>
      </w:r>
    </w:p>
    <w:p w14:paraId="3EBC7F1D" w14:textId="77777777" w:rsidR="00C13497" w:rsidRDefault="00C13497">
      <w:pPr>
        <w:pBdr>
          <w:top w:val="single" w:sz="4" w:space="1" w:color="000000"/>
          <w:left w:val="single" w:sz="4" w:space="4" w:color="000000"/>
          <w:bottom w:val="single" w:sz="4" w:space="1" w:color="000000"/>
          <w:right w:val="single" w:sz="4" w:space="4" w:color="000000"/>
        </w:pBdr>
        <w:shd w:val="clear" w:color="auto" w:fill="E2EFD9" w:themeFill="accent6" w:themeFillTint="33"/>
        <w:jc w:val="center"/>
        <w:rPr>
          <w:b/>
          <w:sz w:val="22"/>
          <w:szCs w:val="22"/>
        </w:rPr>
      </w:pPr>
    </w:p>
    <w:p w14:paraId="60654EC7" w14:textId="77777777" w:rsidR="00C13497" w:rsidRDefault="00C13497">
      <w:pPr>
        <w:shd w:val="clear" w:color="auto" w:fill="FFFFFF" w:themeFill="background1"/>
        <w:ind w:right="567"/>
        <w:rPr>
          <w:b/>
          <w:color w:val="0070C0"/>
        </w:rPr>
      </w:pPr>
    </w:p>
    <w:p w14:paraId="298C20EE" w14:textId="77777777" w:rsidR="00C13497" w:rsidRDefault="003772CF">
      <w:pPr>
        <w:pStyle w:val="Paragraphedeliste"/>
        <w:numPr>
          <w:ilvl w:val="0"/>
          <w:numId w:val="4"/>
        </w:numPr>
        <w:shd w:val="clear" w:color="auto" w:fill="FFFFFF" w:themeFill="background1"/>
        <w:spacing w:after="0" w:line="240" w:lineRule="auto"/>
        <w:ind w:left="0" w:right="567" w:firstLine="0"/>
        <w:rPr>
          <w:rFonts w:ascii="Times New Roman" w:hAnsi="Times New Roman"/>
          <w:b/>
          <w:sz w:val="24"/>
          <w:szCs w:val="24"/>
          <w:lang w:val="fr-FR"/>
        </w:rPr>
      </w:pPr>
      <w:r>
        <w:rPr>
          <w:rFonts w:ascii="Times New Roman" w:hAnsi="Times New Roman"/>
          <w:b/>
          <w:sz w:val="24"/>
          <w:szCs w:val="24"/>
          <w:lang w:val="fr-FR"/>
        </w:rPr>
        <w:t>Contexte</w:t>
      </w:r>
    </w:p>
    <w:p w14:paraId="7FD80EDE"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p>
    <w:p w14:paraId="1EBF54A2" w14:textId="77777777" w:rsidR="00C13497" w:rsidRDefault="003772CF">
      <w:r>
        <w:t xml:space="preserve">La Banque Mondiale renforce son engagement dans la lutte contre la pauvreté et dans le développement de Madagascar en intensifiant son investissement dans le secteur de la protection sociale. </w:t>
      </w:r>
    </w:p>
    <w:p w14:paraId="2D1E999A" w14:textId="77777777" w:rsidR="00C13497" w:rsidRDefault="00C13497"/>
    <w:p w14:paraId="09F77F1E" w14:textId="77777777" w:rsidR="00C13497" w:rsidRDefault="003772CF">
      <w:r>
        <w:t xml:space="preserve">Ainsi, le Gouvernement Malagasy a bénéficié d’un appui de la Banque Mondiale pour la mise en place d’un programme de Filets Sociaux de Sécurité (FSS) d’Août 2015 à Septembre 2019. Cette composante comporte trois activités dont deux concernent des transferts </w:t>
      </w:r>
      <w:proofErr w:type="gramStart"/>
      <w:r>
        <w:t>monétaires:</w:t>
      </w:r>
      <w:proofErr w:type="gramEnd"/>
      <w:r>
        <w:t xml:space="preserve"> le programme de Transfert Monétaire pour le Développement Humain (TMDH) et du programme Argent Contre Travail-Productif (ACT-P) mis en œuvre dans les zones les plus touchés par la pauvreté. Par ailleurs, au cours de l’année 2016, suite à 3 années successives de sècheresse dans la partie sud de Madagascar, un programme d’urgence et de résilience a été mis en place par un financement additionnel du FSS dénommé FIAVOTA implémenté dans les 5 districts les plus touchés par la sècheresse. </w:t>
      </w:r>
    </w:p>
    <w:p w14:paraId="76D45106" w14:textId="77777777" w:rsidR="00C13497" w:rsidRDefault="003772CF">
      <w:r>
        <w:t xml:space="preserve">Etant donné les résultats obtenus avec ce programme, la Banque Mondiale amplifie son appui pour le Gouvernement Malagasy et décide de prolonger le projet FSS à travers un deuxième financement additionnel du projet FSS (FA2) pour une durée de 2,5 ans (2019 à 2022) afin d'aider le gouvernement à accroître l'accès des ménages extrêmement pauvres aux services de filet de sécurité ; de jeter les bases d'un système de protection sociale et de renforcer ainsi </w:t>
      </w:r>
      <w:proofErr w:type="gramStart"/>
      <w:r>
        <w:t>l'impact</w:t>
      </w:r>
      <w:proofErr w:type="gramEnd"/>
      <w:r>
        <w:t xml:space="preserve"> du projet FSS et le filet de sécurité sociale à Madagascar.</w:t>
      </w:r>
    </w:p>
    <w:p w14:paraId="4A355D0C" w14:textId="77777777" w:rsidR="00C13497" w:rsidRDefault="003772CF">
      <w:r>
        <w:t xml:space="preserve">Le projet FSS (FA2) renforcera le filet de sécurité sociale en consolidant les 03 </w:t>
      </w:r>
      <w:proofErr w:type="gramStart"/>
      <w:r>
        <w:t>programmes  de</w:t>
      </w:r>
      <w:proofErr w:type="gramEnd"/>
      <w:r>
        <w:t xml:space="preserve"> transferts monétaires : TMDH, ACTP et FIAVOTA.</w:t>
      </w:r>
    </w:p>
    <w:p w14:paraId="7C3F7796" w14:textId="77777777" w:rsidR="00C13497" w:rsidRDefault="00C13497"/>
    <w:p w14:paraId="29DBBAB7" w14:textId="77777777" w:rsidR="00C13497" w:rsidRDefault="003772CF">
      <w:pPr>
        <w:pBdr>
          <w:top w:val="single" w:sz="4" w:space="1" w:color="000000"/>
          <w:left w:val="single" w:sz="4" w:space="4" w:color="000000"/>
          <w:bottom w:val="single" w:sz="4" w:space="1" w:color="000000"/>
          <w:right w:val="single" w:sz="4" w:space="4" w:color="000000"/>
        </w:pBdr>
        <w:shd w:val="clear" w:color="auto" w:fill="D9D9D9"/>
        <w:spacing w:after="120"/>
      </w:pPr>
      <w:r>
        <w:t>Les présents termes de référence sont développés pour le recrutement d’une agence de transfert et de paiement chargé d’assurer le transfert aux bénéficiaires du TMDH et le paiement des bénéficiaires de l’ACT-</w:t>
      </w:r>
      <w:proofErr w:type="gramStart"/>
      <w:r>
        <w:t>P .</w:t>
      </w:r>
      <w:proofErr w:type="gramEnd"/>
    </w:p>
    <w:p w14:paraId="6D96D6D2" w14:textId="77777777" w:rsidR="00C13497" w:rsidRDefault="00C13497">
      <w:pPr>
        <w:shd w:val="clear" w:color="auto" w:fill="FFFFFF" w:themeFill="background1"/>
        <w:ind w:right="567"/>
      </w:pPr>
    </w:p>
    <w:p w14:paraId="4EBC160C" w14:textId="77777777" w:rsidR="00C13497" w:rsidRDefault="003772CF">
      <w:pPr>
        <w:pStyle w:val="Paragraphedeliste"/>
        <w:numPr>
          <w:ilvl w:val="0"/>
          <w:numId w:val="4"/>
        </w:numPr>
        <w:shd w:val="clear" w:color="auto" w:fill="FFFFFF" w:themeFill="background1"/>
        <w:spacing w:after="0" w:line="240" w:lineRule="auto"/>
        <w:ind w:left="0" w:right="567" w:firstLine="0"/>
        <w:jc w:val="both"/>
        <w:rPr>
          <w:rFonts w:ascii="Times New Roman" w:hAnsi="Times New Roman"/>
          <w:b/>
          <w:sz w:val="24"/>
          <w:szCs w:val="24"/>
          <w:lang w:val="fr-FR"/>
        </w:rPr>
      </w:pPr>
      <w:r>
        <w:rPr>
          <w:rFonts w:ascii="Times New Roman" w:hAnsi="Times New Roman"/>
          <w:b/>
          <w:sz w:val="24"/>
          <w:szCs w:val="24"/>
          <w:lang w:val="fr-FR"/>
        </w:rPr>
        <w:t>Mandat du Prestataire de service de paiement</w:t>
      </w:r>
    </w:p>
    <w:p w14:paraId="20A6A998" w14:textId="77777777" w:rsidR="00C13497" w:rsidRDefault="00C13497">
      <w:pPr>
        <w:pStyle w:val="Paragraphedeliste"/>
        <w:shd w:val="clear" w:color="auto" w:fill="FFFFFF" w:themeFill="background1"/>
        <w:spacing w:after="0" w:line="240" w:lineRule="auto"/>
        <w:ind w:left="0"/>
        <w:jc w:val="both"/>
        <w:rPr>
          <w:rFonts w:ascii="Times New Roman" w:hAnsi="Times New Roman"/>
          <w:b/>
          <w:sz w:val="24"/>
          <w:szCs w:val="24"/>
          <w:lang w:val="fr-FR"/>
        </w:rPr>
      </w:pPr>
    </w:p>
    <w:p w14:paraId="34C500E4" w14:textId="77777777" w:rsidR="00C13497" w:rsidRDefault="003772CF">
      <w:pPr>
        <w:pStyle w:val="Paragraphedeliste"/>
        <w:numPr>
          <w:ilvl w:val="0"/>
          <w:numId w:val="8"/>
        </w:numPr>
        <w:shd w:val="clear" w:color="auto" w:fill="FFFFFF" w:themeFill="background1"/>
        <w:spacing w:after="0" w:line="240" w:lineRule="auto"/>
        <w:ind w:left="0" w:firstLine="0"/>
        <w:jc w:val="both"/>
        <w:rPr>
          <w:rFonts w:ascii="Times New Roman" w:hAnsi="Times New Roman"/>
          <w:sz w:val="24"/>
          <w:szCs w:val="24"/>
          <w:lang w:val="fr-FR"/>
        </w:rPr>
      </w:pPr>
      <w:r>
        <w:rPr>
          <w:rFonts w:ascii="Times New Roman" w:hAnsi="Times New Roman"/>
          <w:sz w:val="24"/>
          <w:szCs w:val="24"/>
          <w:lang w:val="fr-FR"/>
        </w:rPr>
        <w:t xml:space="preserve">Le mandat du Prestataire consiste à assurer les paiements </w:t>
      </w:r>
      <w:proofErr w:type="gramStart"/>
      <w:r>
        <w:rPr>
          <w:rFonts w:ascii="Times New Roman" w:hAnsi="Times New Roman"/>
          <w:sz w:val="24"/>
          <w:szCs w:val="24"/>
          <w:lang w:val="fr-FR"/>
        </w:rPr>
        <w:t>des  transferts</w:t>
      </w:r>
      <w:proofErr w:type="gramEnd"/>
      <w:r>
        <w:rPr>
          <w:rFonts w:ascii="Times New Roman" w:hAnsi="Times New Roman"/>
          <w:sz w:val="24"/>
          <w:szCs w:val="24"/>
          <w:lang w:val="fr-FR"/>
        </w:rPr>
        <w:t xml:space="preserve">  d’argent  au niveau des chefs-lieux des communes ou des  Fokontany à proximité des résidences des bénéficiaires de l’ACT-P et du TMDH auprès d’une caisse fixe conformément au calendrier défini par les deux parties (FID et prestataire de service) ou via mobile money et perçu selon la disponibilité des bénéficiaires. </w:t>
      </w:r>
    </w:p>
    <w:p w14:paraId="04BFE80C" w14:textId="33BDEE3B" w:rsidR="00C13497" w:rsidRDefault="003772CF">
      <w:pPr>
        <w:pStyle w:val="Paragraphedeliste"/>
        <w:numPr>
          <w:ilvl w:val="0"/>
          <w:numId w:val="8"/>
        </w:numPr>
        <w:shd w:val="clear" w:color="auto" w:fill="FFFFFF" w:themeFill="background1"/>
        <w:spacing w:after="0" w:line="240" w:lineRule="auto"/>
        <w:ind w:left="0" w:firstLine="0"/>
        <w:jc w:val="both"/>
        <w:rPr>
          <w:rFonts w:ascii="Times New Roman" w:hAnsi="Times New Roman"/>
          <w:sz w:val="24"/>
          <w:szCs w:val="24"/>
          <w:lang w:val="fr-FR"/>
        </w:rPr>
      </w:pPr>
      <w:r>
        <w:rPr>
          <w:rFonts w:ascii="Times New Roman" w:hAnsi="Times New Roman"/>
          <w:sz w:val="24"/>
          <w:szCs w:val="24"/>
          <w:lang w:val="fr-FR"/>
        </w:rPr>
        <w:t xml:space="preserve">Le Prestataire de </w:t>
      </w:r>
      <w:r w:rsidR="00B95084">
        <w:rPr>
          <w:rFonts w:ascii="Times New Roman" w:hAnsi="Times New Roman"/>
          <w:sz w:val="24"/>
          <w:szCs w:val="24"/>
          <w:lang w:val="fr-FR"/>
        </w:rPr>
        <w:t xml:space="preserve">Service </w:t>
      </w:r>
      <w:r>
        <w:rPr>
          <w:rFonts w:ascii="Times New Roman" w:hAnsi="Times New Roman"/>
          <w:sz w:val="24"/>
          <w:szCs w:val="24"/>
          <w:lang w:val="fr-FR"/>
        </w:rPr>
        <w:t>s’engage à exécuter les services de paiement des bénéficiaires de l’ACT-P et du TMDH conformément aux clauses de la convention ainsi qu’aux normes comptables et financiers.</w:t>
      </w:r>
    </w:p>
    <w:p w14:paraId="5135D732"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sz w:val="24"/>
          <w:szCs w:val="24"/>
          <w:lang w:val="fr-FR"/>
        </w:rPr>
      </w:pPr>
    </w:p>
    <w:p w14:paraId="198D73E8" w14:textId="136B0D3F" w:rsidR="00C13497" w:rsidRDefault="003772CF">
      <w:pPr>
        <w:pStyle w:val="Paragraphedeliste"/>
        <w:shd w:val="clear" w:color="auto" w:fill="FFFFFF" w:themeFill="background1"/>
        <w:spacing w:after="0" w:line="240" w:lineRule="auto"/>
        <w:ind w:left="0" w:right="567"/>
        <w:jc w:val="both"/>
        <w:rPr>
          <w:rFonts w:ascii="Times New Roman" w:hAnsi="Times New Roman"/>
          <w:sz w:val="24"/>
          <w:szCs w:val="24"/>
          <w:lang w:val="fr-FR"/>
        </w:rPr>
      </w:pPr>
      <w:r>
        <w:rPr>
          <w:rFonts w:ascii="Times New Roman" w:hAnsi="Times New Roman"/>
          <w:sz w:val="24"/>
          <w:szCs w:val="24"/>
          <w:lang w:val="fr-FR"/>
        </w:rPr>
        <w:t xml:space="preserve">Pour le cas des prestataires des </w:t>
      </w:r>
      <w:r w:rsidR="00B95084">
        <w:rPr>
          <w:rFonts w:ascii="Times New Roman" w:hAnsi="Times New Roman"/>
          <w:sz w:val="24"/>
          <w:szCs w:val="24"/>
          <w:lang w:val="fr-FR"/>
        </w:rPr>
        <w:t>Mobile Money </w:t>
      </w:r>
      <w:r>
        <w:rPr>
          <w:rFonts w:ascii="Times New Roman" w:hAnsi="Times New Roman"/>
          <w:sz w:val="24"/>
          <w:szCs w:val="24"/>
          <w:lang w:val="fr-FR"/>
        </w:rPr>
        <w:t xml:space="preserve">: </w:t>
      </w:r>
    </w:p>
    <w:p w14:paraId="62A43D7B" w14:textId="77777777" w:rsidR="00C13497" w:rsidRDefault="003772CF">
      <w:pPr>
        <w:pStyle w:val="Paragraphedeliste"/>
        <w:shd w:val="clear" w:color="auto" w:fill="FFFFFF" w:themeFill="background1"/>
        <w:spacing w:after="0" w:line="240" w:lineRule="auto"/>
        <w:ind w:left="0" w:right="567"/>
        <w:jc w:val="both"/>
        <w:rPr>
          <w:rFonts w:ascii="Times New Roman" w:hAnsi="Times New Roman"/>
          <w:sz w:val="24"/>
          <w:szCs w:val="24"/>
          <w:lang w:val="fr-FR"/>
        </w:rPr>
      </w:pPr>
      <w:r>
        <w:rPr>
          <w:rFonts w:ascii="Times New Roman" w:hAnsi="Times New Roman"/>
          <w:sz w:val="24"/>
          <w:szCs w:val="24"/>
          <w:lang w:val="fr-FR"/>
        </w:rPr>
        <w:t xml:space="preserve"> </w:t>
      </w:r>
    </w:p>
    <w:p w14:paraId="51D78C59" w14:textId="77777777" w:rsidR="00C13497"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Les puces téléphoniques seront fournies avec un poste téléphonique par l’opérateur de Mobile Money à chaque bénéficiaire. Le prestataire précisera dans son offre les </w:t>
      </w:r>
      <w:r>
        <w:rPr>
          <w:rFonts w:ascii="Times New Roman" w:hAnsi="Times New Roman"/>
          <w:sz w:val="24"/>
          <w:szCs w:val="24"/>
          <w:lang w:val="fr-FR"/>
        </w:rPr>
        <w:lastRenderedPageBreak/>
        <w:t>modalités de remplacement des puces en cas de perte, de vol ou de défaillance. Les puces ainsi fournies seront gardées actives jusqu’à la fin du contrat sans qu’il soit nécessaire de les recharger en crédits d’appel.</w:t>
      </w:r>
    </w:p>
    <w:p w14:paraId="2E3EB1F2" w14:textId="357D51F5" w:rsidR="00C13497" w:rsidRDefault="003772CF">
      <w:pPr>
        <w:pStyle w:val="Paragraphedeliste"/>
        <w:numPr>
          <w:ilvl w:val="0"/>
          <w:numId w:val="11"/>
        </w:numPr>
        <w:shd w:val="clear" w:color="auto" w:fill="FFFFFF" w:themeFill="background1"/>
        <w:tabs>
          <w:tab w:val="left" w:pos="7365"/>
        </w:tabs>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 xml:space="preserve">dispensera à l’endroit des bénéficiaires une formation pour la manipulation des postes téléphoniques et l’utilisation de leur service de mobile money ; une prise en main de leurs distributeurs fixes sera faite aussi pour les tenir au courant sur le programme de transfert monétaire ainsi que les attitudes à adopter face à ces bénéficiaires vulnérables.  </w:t>
      </w:r>
    </w:p>
    <w:p w14:paraId="363D4BCF" w14:textId="23BE063D" w:rsidR="00C13497"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 xml:space="preserve">assurera l’existence des points de distribution fixe de mobile money sur les sites de paiements couverts par leurs réseaux mobiles. </w:t>
      </w:r>
    </w:p>
    <w:p w14:paraId="68921532" w14:textId="4C020AA8" w:rsidR="00C13497"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assurera la sécurisation des fonds à acheminer vers les sites de paiement pour les distributeurs sur sites qui ont besoin de ravitaillement de fonds pour le paiement des bénéficiaires</w:t>
      </w:r>
      <w:r w:rsidR="004104DD">
        <w:rPr>
          <w:rFonts w:ascii="Times New Roman" w:hAnsi="Times New Roman"/>
          <w:sz w:val="24"/>
          <w:szCs w:val="24"/>
          <w:lang w:val="fr-FR"/>
        </w:rPr>
        <w:t xml:space="preserve"> par des escortes armées de la gendarmerie.  </w:t>
      </w:r>
    </w:p>
    <w:p w14:paraId="47440691" w14:textId="055FA73A" w:rsidR="00C13497"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 xml:space="preserve">de service mettra à la disposition du Programme un numéro vert pour les communications relatives au déroulement du processus de paiement (réclamations, plaintes…). </w:t>
      </w:r>
    </w:p>
    <w:p w14:paraId="17BCB5A1" w14:textId="419F0787" w:rsidR="00C13497" w:rsidRDefault="003772CF">
      <w:pPr>
        <w:pStyle w:val="Paragraphedeliste"/>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présentera dans son offre technique toutes les conditions s’y rapportant.</w:t>
      </w:r>
    </w:p>
    <w:p w14:paraId="3D90A9DF" w14:textId="77777777" w:rsidR="00C13497" w:rsidRDefault="00C13497">
      <w:pPr>
        <w:pStyle w:val="Paragraphedeliste"/>
        <w:shd w:val="clear" w:color="auto" w:fill="FFFFFF" w:themeFill="background1"/>
        <w:spacing w:after="0" w:line="240" w:lineRule="auto"/>
        <w:jc w:val="both"/>
        <w:rPr>
          <w:rFonts w:ascii="Times New Roman" w:hAnsi="Times New Roman"/>
          <w:sz w:val="24"/>
          <w:szCs w:val="24"/>
          <w:lang w:val="fr-FR"/>
        </w:rPr>
      </w:pPr>
    </w:p>
    <w:p w14:paraId="71D19551" w14:textId="77777777" w:rsidR="00C13497" w:rsidRDefault="003772CF">
      <w:pPr>
        <w:ind w:right="567"/>
      </w:pPr>
      <w:r>
        <w:t xml:space="preserve">Pour le cas des Institutions de Micro </w:t>
      </w:r>
      <w:proofErr w:type="gramStart"/>
      <w:r>
        <w:t>Finance  (</w:t>
      </w:r>
      <w:proofErr w:type="gramEnd"/>
      <w:r>
        <w:t xml:space="preserve">IMF): </w:t>
      </w:r>
    </w:p>
    <w:p w14:paraId="105A454E" w14:textId="77777777" w:rsidR="00C13497" w:rsidRDefault="00C13497">
      <w:pPr>
        <w:ind w:right="567"/>
      </w:pPr>
    </w:p>
    <w:p w14:paraId="722184FE" w14:textId="0CF0AD5F" w:rsidR="00C13497"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présentera les conditions d’ouverture des comptes ainsi que le processus de paiement des bénéficiaires au bureau de l’IMF</w:t>
      </w:r>
    </w:p>
    <w:p w14:paraId="0AF8054E" w14:textId="61EC63A3" w:rsidR="00C13497"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 xml:space="preserve">de </w:t>
      </w:r>
      <w:r w:rsidR="00B95084">
        <w:rPr>
          <w:rFonts w:ascii="Times New Roman" w:hAnsi="Times New Roman"/>
          <w:sz w:val="24"/>
          <w:szCs w:val="24"/>
          <w:lang w:val="fr-FR"/>
        </w:rPr>
        <w:t xml:space="preserve">Service </w:t>
      </w:r>
      <w:r>
        <w:rPr>
          <w:rFonts w:ascii="Times New Roman" w:hAnsi="Times New Roman"/>
          <w:sz w:val="24"/>
          <w:szCs w:val="24"/>
          <w:lang w:val="fr-FR"/>
        </w:rPr>
        <w:t>fournira un programme de formation financière (obligatoire) et/ou de formation spécifique sur la santé, agriculture …</w:t>
      </w:r>
      <w:proofErr w:type="spellStart"/>
      <w:r>
        <w:rPr>
          <w:rFonts w:ascii="Times New Roman" w:hAnsi="Times New Roman"/>
          <w:sz w:val="24"/>
          <w:szCs w:val="24"/>
          <w:lang w:val="fr-FR"/>
        </w:rPr>
        <w:t>etc</w:t>
      </w:r>
      <w:proofErr w:type="spellEnd"/>
      <w:r>
        <w:rPr>
          <w:rFonts w:ascii="Times New Roman" w:hAnsi="Times New Roman"/>
          <w:sz w:val="24"/>
          <w:szCs w:val="24"/>
          <w:lang w:val="fr-FR"/>
        </w:rPr>
        <w:t xml:space="preserve"> durant la durée du mandat. Les formations se feront suivant les modules disponibles dans le programme de l’IMF.</w:t>
      </w:r>
    </w:p>
    <w:p w14:paraId="67F02CB8" w14:textId="15099F1C" w:rsidR="00C13497" w:rsidRPr="00F55F36" w:rsidRDefault="003772CF">
      <w:pPr>
        <w:pStyle w:val="Paragraphedeliste"/>
        <w:numPr>
          <w:ilvl w:val="0"/>
          <w:numId w:val="11"/>
        </w:numPr>
        <w:shd w:val="clear" w:color="auto" w:fill="FFFFFF" w:themeFill="background1"/>
        <w:spacing w:after="0" w:line="240" w:lineRule="auto"/>
        <w:jc w:val="both"/>
      </w:pPr>
      <w:r>
        <w:rPr>
          <w:rFonts w:ascii="Times New Roman" w:hAnsi="Times New Roman"/>
          <w:sz w:val="24"/>
          <w:szCs w:val="24"/>
          <w:lang w:val="fr-FR"/>
        </w:rPr>
        <w:t xml:space="preserve"> Le </w:t>
      </w:r>
      <w:r w:rsidR="00B95084">
        <w:rPr>
          <w:rFonts w:ascii="Times New Roman" w:hAnsi="Times New Roman"/>
          <w:sz w:val="24"/>
          <w:szCs w:val="24"/>
          <w:lang w:val="fr-FR"/>
        </w:rPr>
        <w:t>P</w:t>
      </w:r>
      <w:r>
        <w:rPr>
          <w:rFonts w:ascii="Times New Roman" w:hAnsi="Times New Roman"/>
          <w:sz w:val="24"/>
          <w:szCs w:val="24"/>
          <w:lang w:val="fr-FR"/>
        </w:rPr>
        <w:t xml:space="preserve">restataire précisera les modalités de sécurisation de fonds et des bénéficiaires (lors de l’opération de </w:t>
      </w:r>
      <w:r w:rsidR="00F55F36">
        <w:rPr>
          <w:rFonts w:ascii="Times New Roman" w:hAnsi="Times New Roman"/>
          <w:sz w:val="24"/>
          <w:szCs w:val="24"/>
          <w:lang w:val="fr-FR"/>
        </w:rPr>
        <w:t>paiement)</w:t>
      </w:r>
      <w:r>
        <w:rPr>
          <w:rFonts w:ascii="Times New Roman" w:hAnsi="Times New Roman"/>
          <w:sz w:val="24"/>
          <w:szCs w:val="24"/>
          <w:lang w:val="fr-FR"/>
        </w:rPr>
        <w:t xml:space="preserve"> déjà mises en place ou encore à mettre en </w:t>
      </w:r>
      <w:r w:rsidR="00F55F36">
        <w:rPr>
          <w:rFonts w:ascii="Times New Roman" w:hAnsi="Times New Roman"/>
          <w:sz w:val="24"/>
          <w:szCs w:val="24"/>
          <w:lang w:val="fr-FR"/>
        </w:rPr>
        <w:t>œuvre</w:t>
      </w:r>
      <w:r>
        <w:rPr>
          <w:rFonts w:ascii="Times New Roman" w:hAnsi="Times New Roman"/>
          <w:sz w:val="24"/>
          <w:szCs w:val="24"/>
          <w:lang w:val="fr-FR"/>
        </w:rPr>
        <w:t xml:space="preserve"> pour leur </w:t>
      </w:r>
      <w:r w:rsidRPr="00F55F36">
        <w:rPr>
          <w:rFonts w:ascii="Times New Roman" w:hAnsi="Times New Roman"/>
          <w:sz w:val="24"/>
          <w:szCs w:val="24"/>
          <w:lang w:val="fr-FR"/>
        </w:rPr>
        <w:t xml:space="preserve">agence implanté dans les sites des paiements. </w:t>
      </w:r>
    </w:p>
    <w:p w14:paraId="03F06F35" w14:textId="77777777" w:rsidR="00C13497" w:rsidRPr="00DB19B8" w:rsidRDefault="003772CF">
      <w:pPr>
        <w:pStyle w:val="Paragraphedeliste"/>
        <w:numPr>
          <w:ilvl w:val="0"/>
          <w:numId w:val="11"/>
        </w:numPr>
        <w:shd w:val="clear" w:color="auto" w:fill="FFFFFF" w:themeFill="background1"/>
        <w:spacing w:after="0" w:line="240" w:lineRule="auto"/>
        <w:jc w:val="both"/>
        <w:rPr>
          <w:rFonts w:ascii="Times New Roman" w:hAnsi="Times New Roman"/>
          <w:sz w:val="24"/>
          <w:szCs w:val="24"/>
          <w:lang w:val="fr-FR"/>
        </w:rPr>
      </w:pPr>
      <w:r w:rsidRPr="00DB19B8">
        <w:rPr>
          <w:rFonts w:ascii="Times New Roman" w:hAnsi="Times New Roman"/>
          <w:sz w:val="24"/>
          <w:szCs w:val="24"/>
          <w:lang w:val="fr-FR"/>
        </w:rPr>
        <w:t>Dans le cas où le bénéficiaire a des arriérés de remboursement sur un emprunt qu’il aurait contracté auprès de l’IMF, cette dernière accepte de ne pas prélever ces arriérés sur l’allocation versée par le FID au bénéficiaire.</w:t>
      </w:r>
    </w:p>
    <w:p w14:paraId="39E6E7FF" w14:textId="77777777" w:rsidR="00C13497" w:rsidRDefault="00C13497">
      <w:pPr>
        <w:pStyle w:val="Paragraphedeliste"/>
        <w:shd w:val="clear" w:color="auto" w:fill="FFFFFF" w:themeFill="background1"/>
        <w:spacing w:after="0" w:line="240" w:lineRule="auto"/>
        <w:ind w:left="0"/>
        <w:jc w:val="both"/>
        <w:rPr>
          <w:rFonts w:ascii="Times New Roman" w:hAnsi="Times New Roman"/>
          <w:sz w:val="24"/>
          <w:szCs w:val="24"/>
          <w:lang w:val="fr-FR"/>
        </w:rPr>
      </w:pPr>
    </w:p>
    <w:p w14:paraId="6A5EEDC3" w14:textId="77777777" w:rsidR="00C13497" w:rsidRDefault="00C13497">
      <w:pPr>
        <w:pStyle w:val="Paragraphedeliste"/>
        <w:shd w:val="clear" w:color="auto" w:fill="FFFFFF" w:themeFill="background1"/>
        <w:spacing w:after="0" w:line="240" w:lineRule="auto"/>
        <w:ind w:left="0"/>
        <w:jc w:val="both"/>
        <w:rPr>
          <w:rFonts w:ascii="Times New Roman" w:hAnsi="Times New Roman"/>
          <w:sz w:val="24"/>
          <w:szCs w:val="24"/>
          <w:lang w:val="fr-FR"/>
        </w:rPr>
      </w:pPr>
    </w:p>
    <w:p w14:paraId="56D440A8" w14:textId="77777777" w:rsidR="00C13497" w:rsidRDefault="003772CF">
      <w:pPr>
        <w:pStyle w:val="Paragraphedeliste"/>
        <w:numPr>
          <w:ilvl w:val="0"/>
          <w:numId w:val="4"/>
        </w:numPr>
        <w:shd w:val="clear" w:color="auto" w:fill="FFFFFF" w:themeFill="background1"/>
        <w:spacing w:after="0" w:line="240" w:lineRule="auto"/>
        <w:ind w:left="0" w:right="567" w:firstLine="0"/>
        <w:jc w:val="both"/>
        <w:rPr>
          <w:rFonts w:ascii="Times New Roman" w:hAnsi="Times New Roman"/>
          <w:b/>
          <w:sz w:val="24"/>
          <w:szCs w:val="24"/>
          <w:lang w:val="fr-FR"/>
        </w:rPr>
      </w:pPr>
      <w:r>
        <w:rPr>
          <w:rFonts w:ascii="Times New Roman" w:hAnsi="Times New Roman"/>
          <w:b/>
          <w:sz w:val="24"/>
          <w:szCs w:val="24"/>
          <w:lang w:val="fr-FR"/>
        </w:rPr>
        <w:t xml:space="preserve">Caractéristiques des Transferts monétaires des </w:t>
      </w:r>
      <w:proofErr w:type="gramStart"/>
      <w:r>
        <w:rPr>
          <w:rFonts w:ascii="Times New Roman" w:hAnsi="Times New Roman"/>
          <w:b/>
          <w:sz w:val="24"/>
          <w:szCs w:val="24"/>
          <w:lang w:val="fr-FR"/>
        </w:rPr>
        <w:t>activités:</w:t>
      </w:r>
      <w:proofErr w:type="gramEnd"/>
    </w:p>
    <w:p w14:paraId="27C15FAC"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p>
    <w:p w14:paraId="40801FE1" w14:textId="77777777" w:rsidR="00C13497" w:rsidRDefault="003772CF">
      <w:pPr>
        <w:shd w:val="clear" w:color="auto" w:fill="FFFFFF" w:themeFill="background1"/>
        <w:outlineLvl w:val="0"/>
        <w:rPr>
          <w:b/>
          <w:i/>
        </w:rPr>
      </w:pPr>
      <w:r>
        <w:rPr>
          <w:b/>
          <w:i/>
        </w:rPr>
        <w:tab/>
        <w:t>3.1 Cycle de paiements :</w:t>
      </w:r>
    </w:p>
    <w:p w14:paraId="0E53BEC7" w14:textId="77777777" w:rsidR="00C13497" w:rsidRDefault="003772CF">
      <w:pPr>
        <w:shd w:val="clear" w:color="auto" w:fill="FFFFFF" w:themeFill="background1"/>
        <w:outlineLvl w:val="0"/>
        <w:rPr>
          <w:b/>
          <w:i/>
        </w:rPr>
      </w:pPr>
      <w:r>
        <w:rPr>
          <w:b/>
          <w:i/>
        </w:rPr>
        <w:t>Pour l’ACT-P</w:t>
      </w:r>
    </w:p>
    <w:p w14:paraId="3DCA8912" w14:textId="77777777" w:rsidR="00C13497" w:rsidRDefault="00C13497">
      <w:pPr>
        <w:shd w:val="clear" w:color="auto" w:fill="FFFFFF" w:themeFill="background1"/>
        <w:rPr>
          <w:b/>
          <w:i/>
        </w:rPr>
      </w:pPr>
    </w:p>
    <w:p w14:paraId="1DF95AE5" w14:textId="77777777" w:rsidR="00C13497" w:rsidRDefault="003772CF">
      <w:pPr>
        <w:pStyle w:val="Paragraphedeliste"/>
        <w:numPr>
          <w:ilvl w:val="0"/>
          <w:numId w:val="12"/>
        </w:numPr>
        <w:jc w:val="both"/>
        <w:rPr>
          <w:rFonts w:ascii="Times New Roman" w:hAnsi="Times New Roman"/>
          <w:sz w:val="24"/>
          <w:szCs w:val="24"/>
        </w:rPr>
      </w:pPr>
      <w:r>
        <w:rPr>
          <w:rFonts w:ascii="Times New Roman" w:hAnsi="Times New Roman"/>
          <w:sz w:val="24"/>
          <w:szCs w:val="24"/>
        </w:rPr>
        <w:t>Le</w:t>
      </w:r>
      <w:r>
        <w:rPr>
          <w:rFonts w:ascii="Times New Roman" w:hAnsi="Times New Roman"/>
          <w:sz w:val="24"/>
          <w:szCs w:val="24"/>
          <w:lang w:val="fr-FR"/>
        </w:rPr>
        <w:t xml:space="preserve"> nombre</w:t>
      </w:r>
      <w:r>
        <w:rPr>
          <w:rFonts w:ascii="Times New Roman" w:hAnsi="Times New Roman"/>
          <w:sz w:val="24"/>
          <w:szCs w:val="24"/>
        </w:rPr>
        <w:t xml:space="preserve"> de </w:t>
      </w:r>
      <w:proofErr w:type="spellStart"/>
      <w:r>
        <w:rPr>
          <w:rFonts w:ascii="Times New Roman" w:hAnsi="Times New Roman"/>
          <w:sz w:val="24"/>
          <w:szCs w:val="24"/>
        </w:rPr>
        <w:t>jours</w:t>
      </w:r>
      <w:proofErr w:type="spellEnd"/>
      <w:r>
        <w:rPr>
          <w:rFonts w:ascii="Times New Roman" w:hAnsi="Times New Roman"/>
          <w:sz w:val="24"/>
          <w:szCs w:val="24"/>
          <w:lang w:val="fr-FR"/>
        </w:rPr>
        <w:t xml:space="preserve"> travaillés</w:t>
      </w:r>
      <w:r>
        <w:rPr>
          <w:rFonts w:ascii="Times New Roman" w:hAnsi="Times New Roman"/>
          <w:sz w:val="24"/>
          <w:szCs w:val="24"/>
        </w:rPr>
        <w:t xml:space="preserve"> pendant</w:t>
      </w:r>
      <w:r>
        <w:rPr>
          <w:rFonts w:ascii="Times New Roman" w:hAnsi="Times New Roman"/>
          <w:sz w:val="24"/>
          <w:szCs w:val="24"/>
          <w:lang w:val="fr-FR"/>
        </w:rPr>
        <w:t xml:space="preserve"> chaque</w:t>
      </w:r>
      <w:r>
        <w:rPr>
          <w:rFonts w:ascii="Times New Roman" w:hAnsi="Times New Roman"/>
          <w:sz w:val="24"/>
          <w:szCs w:val="24"/>
        </w:rPr>
        <w:t xml:space="preserve"> intervention sera de 40 </w:t>
      </w:r>
      <w:proofErr w:type="spellStart"/>
      <w:r>
        <w:rPr>
          <w:rFonts w:ascii="Times New Roman" w:hAnsi="Times New Roman"/>
          <w:sz w:val="24"/>
          <w:szCs w:val="24"/>
        </w:rPr>
        <w:t>jours</w:t>
      </w:r>
      <w:proofErr w:type="spellEnd"/>
      <w:r>
        <w:rPr>
          <w:rFonts w:ascii="Times New Roman" w:hAnsi="Times New Roman"/>
          <w:sz w:val="24"/>
          <w:szCs w:val="24"/>
        </w:rPr>
        <w:t xml:space="preserve">. Les </w:t>
      </w:r>
      <w:proofErr w:type="spellStart"/>
      <w:r>
        <w:rPr>
          <w:rFonts w:ascii="Times New Roman" w:hAnsi="Times New Roman"/>
          <w:sz w:val="24"/>
          <w:szCs w:val="24"/>
        </w:rPr>
        <w:t>bénéfices</w:t>
      </w:r>
      <w:proofErr w:type="spellEnd"/>
      <w:r>
        <w:rPr>
          <w:rFonts w:ascii="Times New Roman" w:hAnsi="Times New Roman"/>
          <w:sz w:val="24"/>
          <w:szCs w:val="24"/>
        </w:rPr>
        <w:t xml:space="preserve"> </w:t>
      </w:r>
      <w:proofErr w:type="spellStart"/>
      <w:r>
        <w:rPr>
          <w:rFonts w:ascii="Times New Roman" w:hAnsi="Times New Roman"/>
          <w:sz w:val="24"/>
          <w:szCs w:val="24"/>
        </w:rPr>
        <w:t>seront</w:t>
      </w:r>
      <w:proofErr w:type="spellEnd"/>
      <w:r>
        <w:rPr>
          <w:rFonts w:ascii="Times New Roman" w:hAnsi="Times New Roman"/>
          <w:sz w:val="24"/>
          <w:szCs w:val="24"/>
        </w:rPr>
        <w:t xml:space="preserve"> </w:t>
      </w:r>
      <w:proofErr w:type="spellStart"/>
      <w:r>
        <w:rPr>
          <w:rFonts w:ascii="Times New Roman" w:hAnsi="Times New Roman"/>
          <w:sz w:val="24"/>
          <w:szCs w:val="24"/>
        </w:rPr>
        <w:t>payés</w:t>
      </w:r>
      <w:proofErr w:type="spellEnd"/>
      <w:r>
        <w:rPr>
          <w:rFonts w:ascii="Times New Roman" w:hAnsi="Times New Roman"/>
          <w:sz w:val="24"/>
          <w:szCs w:val="24"/>
        </w:rPr>
        <w:t xml:space="preserve"> sur la base des presences effectives des</w:t>
      </w:r>
      <w:r>
        <w:rPr>
          <w:rFonts w:ascii="Times New Roman" w:hAnsi="Times New Roman"/>
          <w:sz w:val="24"/>
          <w:szCs w:val="24"/>
          <w:lang w:val="fr-FR"/>
        </w:rPr>
        <w:t xml:space="preserve"> travailleurs</w:t>
      </w:r>
      <w:r>
        <w:rPr>
          <w:rFonts w:ascii="Times New Roman" w:eastAsia="Times New Roman" w:hAnsi="Times New Roman"/>
          <w:sz w:val="24"/>
          <w:szCs w:val="24"/>
          <w:lang w:val="fr-FR" w:eastAsia="fr-FR"/>
        </w:rPr>
        <w:t xml:space="preserve"> ou des transferts directs seront accordés aux ménages ayant des contraintes de main-d'œuvre sans qu'ils aient à travailler</w:t>
      </w:r>
      <w:r>
        <w:rPr>
          <w:rFonts w:ascii="Times New Roman" w:hAnsi="Times New Roman"/>
          <w:sz w:val="24"/>
          <w:szCs w:val="24"/>
        </w:rPr>
        <w:t>.</w:t>
      </w:r>
    </w:p>
    <w:p w14:paraId="0220D77D" w14:textId="77777777" w:rsidR="004104DD" w:rsidRPr="00DB19B8" w:rsidRDefault="004104DD" w:rsidP="004104DD">
      <w:pPr>
        <w:pStyle w:val="Paragraphedeliste"/>
        <w:numPr>
          <w:ilvl w:val="0"/>
          <w:numId w:val="12"/>
        </w:numPr>
        <w:rPr>
          <w:rFonts w:ascii="Times New Roman" w:hAnsi="Times New Roman"/>
          <w:sz w:val="24"/>
          <w:szCs w:val="24"/>
        </w:rPr>
      </w:pPr>
      <w:r w:rsidRPr="00DB19B8">
        <w:rPr>
          <w:rFonts w:ascii="Times New Roman" w:hAnsi="Times New Roman"/>
          <w:sz w:val="24"/>
          <w:szCs w:val="24"/>
        </w:rPr>
        <w:t xml:space="preserve">Le </w:t>
      </w:r>
      <w:proofErr w:type="spellStart"/>
      <w:r w:rsidRPr="004104DD">
        <w:rPr>
          <w:rFonts w:ascii="Times New Roman" w:hAnsi="Times New Roman"/>
          <w:sz w:val="24"/>
          <w:szCs w:val="24"/>
        </w:rPr>
        <w:t>paiement</w:t>
      </w:r>
      <w:proofErr w:type="spellEnd"/>
      <w:r w:rsidRPr="004104DD">
        <w:rPr>
          <w:rFonts w:ascii="Times New Roman" w:hAnsi="Times New Roman"/>
          <w:sz w:val="24"/>
          <w:szCs w:val="24"/>
        </w:rPr>
        <w:t xml:space="preserve"> des</w:t>
      </w:r>
      <w:r w:rsidRPr="00DB19B8">
        <w:rPr>
          <w:rFonts w:ascii="Times New Roman" w:hAnsi="Times New Roman"/>
          <w:sz w:val="24"/>
          <w:szCs w:val="24"/>
        </w:rPr>
        <w:t xml:space="preserve"> </w:t>
      </w:r>
      <w:proofErr w:type="spellStart"/>
      <w:r w:rsidRPr="00DB19B8">
        <w:rPr>
          <w:rFonts w:ascii="Times New Roman" w:hAnsi="Times New Roman"/>
          <w:sz w:val="24"/>
          <w:szCs w:val="24"/>
        </w:rPr>
        <w:t>bénéficiaires</w:t>
      </w:r>
      <w:proofErr w:type="spellEnd"/>
      <w:r w:rsidRPr="00DB19B8">
        <w:rPr>
          <w:rFonts w:ascii="Times New Roman" w:hAnsi="Times New Roman"/>
          <w:sz w:val="24"/>
          <w:szCs w:val="24"/>
        </w:rPr>
        <w:t xml:space="preserve"> ACT-P pour </w:t>
      </w:r>
      <w:proofErr w:type="spellStart"/>
      <w:r w:rsidRPr="00DB19B8">
        <w:rPr>
          <w:rFonts w:ascii="Times New Roman" w:hAnsi="Times New Roman"/>
          <w:sz w:val="24"/>
          <w:szCs w:val="24"/>
        </w:rPr>
        <w:t>chaque</w:t>
      </w:r>
      <w:proofErr w:type="spellEnd"/>
      <w:r w:rsidRPr="00DB19B8">
        <w:rPr>
          <w:rFonts w:ascii="Times New Roman" w:hAnsi="Times New Roman"/>
          <w:sz w:val="24"/>
          <w:szCs w:val="24"/>
        </w:rPr>
        <w:t xml:space="preserve"> intervention </w:t>
      </w:r>
      <w:r w:rsidRPr="004104DD">
        <w:rPr>
          <w:rFonts w:ascii="Times New Roman" w:hAnsi="Times New Roman"/>
          <w:sz w:val="24"/>
          <w:szCs w:val="24"/>
        </w:rPr>
        <w:t>se fait</w:t>
      </w:r>
      <w:r w:rsidRPr="00DB19B8">
        <w:rPr>
          <w:rFonts w:ascii="Times New Roman" w:hAnsi="Times New Roman"/>
          <w:sz w:val="24"/>
          <w:szCs w:val="24"/>
        </w:rPr>
        <w:t xml:space="preserve"> </w:t>
      </w:r>
      <w:proofErr w:type="spellStart"/>
      <w:r w:rsidRPr="00DB19B8">
        <w:rPr>
          <w:rFonts w:ascii="Times New Roman" w:hAnsi="Times New Roman"/>
          <w:sz w:val="24"/>
          <w:szCs w:val="24"/>
        </w:rPr>
        <w:t>en</w:t>
      </w:r>
      <w:proofErr w:type="spellEnd"/>
      <w:r w:rsidRPr="00DB19B8">
        <w:rPr>
          <w:rFonts w:ascii="Times New Roman" w:hAnsi="Times New Roman"/>
          <w:sz w:val="24"/>
          <w:szCs w:val="24"/>
        </w:rPr>
        <w:t xml:space="preserve"> trois </w:t>
      </w:r>
      <w:proofErr w:type="spellStart"/>
      <w:r w:rsidRPr="00DB19B8">
        <w:rPr>
          <w:rFonts w:ascii="Times New Roman" w:hAnsi="Times New Roman"/>
          <w:sz w:val="24"/>
          <w:szCs w:val="24"/>
        </w:rPr>
        <w:t>transfert</w:t>
      </w:r>
      <w:r>
        <w:rPr>
          <w:rFonts w:ascii="Times New Roman" w:hAnsi="Times New Roman"/>
          <w:sz w:val="24"/>
          <w:szCs w:val="24"/>
        </w:rPr>
        <w:t>s</w:t>
      </w:r>
      <w:proofErr w:type="spellEnd"/>
      <w:r w:rsidRPr="00DB19B8">
        <w:rPr>
          <w:rFonts w:ascii="Times New Roman" w:hAnsi="Times New Roman"/>
          <w:sz w:val="24"/>
          <w:szCs w:val="24"/>
        </w:rPr>
        <w:t xml:space="preserve">. Le </w:t>
      </w:r>
      <w:proofErr w:type="spellStart"/>
      <w:r w:rsidRPr="00DB19B8">
        <w:rPr>
          <w:rFonts w:ascii="Times New Roman" w:hAnsi="Times New Roman"/>
          <w:sz w:val="24"/>
          <w:szCs w:val="24"/>
        </w:rPr>
        <w:t>montant</w:t>
      </w:r>
      <w:proofErr w:type="spellEnd"/>
      <w:r w:rsidRPr="00DB19B8">
        <w:rPr>
          <w:rFonts w:ascii="Times New Roman" w:hAnsi="Times New Roman"/>
          <w:sz w:val="24"/>
          <w:szCs w:val="24"/>
        </w:rPr>
        <w:t xml:space="preserve"> sera </w:t>
      </w:r>
      <w:proofErr w:type="spellStart"/>
      <w:r w:rsidRPr="00DB19B8">
        <w:rPr>
          <w:rFonts w:ascii="Times New Roman" w:hAnsi="Times New Roman"/>
          <w:sz w:val="24"/>
          <w:szCs w:val="24"/>
        </w:rPr>
        <w:t>perçu</w:t>
      </w:r>
      <w:proofErr w:type="spellEnd"/>
      <w:r w:rsidRPr="00DB19B8">
        <w:rPr>
          <w:rFonts w:ascii="Times New Roman" w:hAnsi="Times New Roman"/>
          <w:sz w:val="24"/>
          <w:szCs w:val="24"/>
        </w:rPr>
        <w:t xml:space="preserve"> par le </w:t>
      </w:r>
      <w:proofErr w:type="spellStart"/>
      <w:r w:rsidRPr="00DB19B8">
        <w:rPr>
          <w:rFonts w:ascii="Times New Roman" w:hAnsi="Times New Roman"/>
          <w:sz w:val="24"/>
          <w:szCs w:val="24"/>
        </w:rPr>
        <w:t>bénéficiaire</w:t>
      </w:r>
      <w:proofErr w:type="spellEnd"/>
      <w:r w:rsidRPr="00DB19B8">
        <w:rPr>
          <w:rFonts w:ascii="Times New Roman" w:hAnsi="Times New Roman"/>
          <w:sz w:val="24"/>
          <w:szCs w:val="24"/>
        </w:rPr>
        <w:t xml:space="preserve"> </w:t>
      </w:r>
      <w:proofErr w:type="spellStart"/>
      <w:r w:rsidRPr="00DB19B8">
        <w:rPr>
          <w:rFonts w:ascii="Times New Roman" w:hAnsi="Times New Roman"/>
          <w:sz w:val="24"/>
          <w:szCs w:val="24"/>
        </w:rPr>
        <w:t>selon</w:t>
      </w:r>
      <w:proofErr w:type="spellEnd"/>
      <w:r w:rsidRPr="00DB19B8">
        <w:rPr>
          <w:rFonts w:ascii="Times New Roman" w:hAnsi="Times New Roman"/>
          <w:sz w:val="24"/>
          <w:szCs w:val="24"/>
        </w:rPr>
        <w:t xml:space="preserve"> </w:t>
      </w:r>
      <w:proofErr w:type="spellStart"/>
      <w:r w:rsidRPr="00DB19B8">
        <w:rPr>
          <w:rFonts w:ascii="Times New Roman" w:hAnsi="Times New Roman"/>
          <w:sz w:val="24"/>
          <w:szCs w:val="24"/>
        </w:rPr>
        <w:t>sa</w:t>
      </w:r>
      <w:proofErr w:type="spellEnd"/>
      <w:r w:rsidRPr="00DB19B8">
        <w:rPr>
          <w:rFonts w:ascii="Times New Roman" w:hAnsi="Times New Roman"/>
          <w:sz w:val="24"/>
          <w:szCs w:val="24"/>
        </w:rPr>
        <w:t xml:space="preserve"> </w:t>
      </w:r>
      <w:proofErr w:type="spellStart"/>
      <w:r w:rsidRPr="00DB19B8">
        <w:rPr>
          <w:rFonts w:ascii="Times New Roman" w:hAnsi="Times New Roman"/>
          <w:sz w:val="24"/>
          <w:szCs w:val="24"/>
        </w:rPr>
        <w:t>disponibilité</w:t>
      </w:r>
      <w:proofErr w:type="spellEnd"/>
      <w:r w:rsidRPr="00DB19B8">
        <w:rPr>
          <w:rFonts w:ascii="Times New Roman" w:hAnsi="Times New Roman"/>
          <w:sz w:val="24"/>
          <w:szCs w:val="24"/>
        </w:rPr>
        <w:t xml:space="preserve"> pour les </w:t>
      </w:r>
      <w:proofErr w:type="spellStart"/>
      <w:r w:rsidRPr="00DB19B8">
        <w:rPr>
          <w:rFonts w:ascii="Times New Roman" w:hAnsi="Times New Roman"/>
          <w:sz w:val="24"/>
          <w:szCs w:val="24"/>
        </w:rPr>
        <w:t>opérateurs</w:t>
      </w:r>
      <w:proofErr w:type="spellEnd"/>
      <w:r w:rsidRPr="00DB19B8">
        <w:rPr>
          <w:rFonts w:ascii="Times New Roman" w:hAnsi="Times New Roman"/>
          <w:sz w:val="24"/>
          <w:szCs w:val="24"/>
        </w:rPr>
        <w:t xml:space="preserve"> mobiles et </w:t>
      </w:r>
      <w:proofErr w:type="spellStart"/>
      <w:r w:rsidRPr="004104DD">
        <w:rPr>
          <w:rFonts w:ascii="Times New Roman" w:hAnsi="Times New Roman"/>
          <w:sz w:val="24"/>
          <w:szCs w:val="24"/>
        </w:rPr>
        <w:t>a</w:t>
      </w:r>
      <w:r>
        <w:rPr>
          <w:rFonts w:ascii="Times New Roman" w:hAnsi="Times New Roman"/>
          <w:sz w:val="24"/>
          <w:szCs w:val="24"/>
        </w:rPr>
        <w:t>u</w:t>
      </w:r>
      <w:r w:rsidRPr="004104DD">
        <w:rPr>
          <w:rFonts w:ascii="Times New Roman" w:hAnsi="Times New Roman"/>
          <w:sz w:val="24"/>
          <w:szCs w:val="24"/>
        </w:rPr>
        <w:t>près</w:t>
      </w:r>
      <w:proofErr w:type="spellEnd"/>
      <w:r w:rsidRPr="00DB19B8">
        <w:rPr>
          <w:rFonts w:ascii="Times New Roman" w:hAnsi="Times New Roman"/>
          <w:sz w:val="24"/>
          <w:szCs w:val="24"/>
        </w:rPr>
        <w:t xml:space="preserve"> </w:t>
      </w:r>
      <w:proofErr w:type="spellStart"/>
      <w:r w:rsidRPr="00DB19B8">
        <w:rPr>
          <w:rFonts w:ascii="Times New Roman" w:hAnsi="Times New Roman"/>
          <w:sz w:val="24"/>
          <w:szCs w:val="24"/>
        </w:rPr>
        <w:t>d’une</w:t>
      </w:r>
      <w:proofErr w:type="spellEnd"/>
      <w:r w:rsidRPr="00DB19B8">
        <w:rPr>
          <w:rFonts w:ascii="Times New Roman" w:hAnsi="Times New Roman"/>
          <w:sz w:val="24"/>
          <w:szCs w:val="24"/>
        </w:rPr>
        <w:t xml:space="preserve"> </w:t>
      </w:r>
      <w:proofErr w:type="spellStart"/>
      <w:r w:rsidRPr="00DB19B8">
        <w:rPr>
          <w:rFonts w:ascii="Times New Roman" w:hAnsi="Times New Roman"/>
          <w:sz w:val="24"/>
          <w:szCs w:val="24"/>
        </w:rPr>
        <w:t>caisse</w:t>
      </w:r>
      <w:proofErr w:type="spellEnd"/>
      <w:r w:rsidRPr="00DB19B8">
        <w:rPr>
          <w:rFonts w:ascii="Times New Roman" w:hAnsi="Times New Roman"/>
          <w:sz w:val="24"/>
          <w:szCs w:val="24"/>
        </w:rPr>
        <w:t xml:space="preserve"> fixe pour les IMF.</w:t>
      </w:r>
    </w:p>
    <w:p w14:paraId="756E643F" w14:textId="77777777" w:rsidR="00C13497" w:rsidRDefault="003772CF">
      <w:pPr>
        <w:pStyle w:val="Paragraphedeliste"/>
        <w:numPr>
          <w:ilvl w:val="0"/>
          <w:numId w:val="12"/>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Il est prévu 6 paiements par an soit 12 paiements pour toute la durée du projet.</w:t>
      </w:r>
    </w:p>
    <w:p w14:paraId="2708B4C2" w14:textId="77777777" w:rsidR="004104DD" w:rsidRDefault="004104DD" w:rsidP="00DB19B8">
      <w:pPr>
        <w:pStyle w:val="Paragraphedeliste"/>
        <w:shd w:val="clear" w:color="auto" w:fill="FFFFFF" w:themeFill="background1"/>
        <w:spacing w:after="0" w:line="240" w:lineRule="auto"/>
        <w:ind w:right="567"/>
        <w:jc w:val="both"/>
        <w:rPr>
          <w:rFonts w:ascii="Times New Roman" w:hAnsi="Times New Roman"/>
          <w:sz w:val="24"/>
          <w:szCs w:val="24"/>
          <w:lang w:val="fr-FR"/>
        </w:rPr>
      </w:pPr>
    </w:p>
    <w:p w14:paraId="140B314C" w14:textId="77777777" w:rsidR="004104DD" w:rsidRDefault="004104DD" w:rsidP="00DB19B8">
      <w:pPr>
        <w:pStyle w:val="Paragraphedeliste"/>
        <w:shd w:val="clear" w:color="auto" w:fill="FFFFFF" w:themeFill="background1"/>
        <w:spacing w:after="0" w:line="240" w:lineRule="auto"/>
        <w:ind w:right="567"/>
        <w:jc w:val="both"/>
        <w:rPr>
          <w:rFonts w:ascii="Times New Roman" w:hAnsi="Times New Roman"/>
          <w:sz w:val="24"/>
          <w:szCs w:val="24"/>
          <w:lang w:val="fr-FR"/>
        </w:rPr>
      </w:pPr>
    </w:p>
    <w:p w14:paraId="0C6EFAA4" w14:textId="77777777" w:rsidR="00C13497" w:rsidRDefault="00C13497">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18922ABD" w14:textId="77777777" w:rsidR="00C13497" w:rsidRDefault="003772CF">
      <w:pPr>
        <w:shd w:val="clear" w:color="auto" w:fill="FFFFFF" w:themeFill="background1"/>
        <w:outlineLvl w:val="0"/>
        <w:rPr>
          <w:b/>
          <w:i/>
        </w:rPr>
      </w:pPr>
      <w:r>
        <w:rPr>
          <w:b/>
          <w:i/>
        </w:rPr>
        <w:lastRenderedPageBreak/>
        <w:t>Pour le TMDH</w:t>
      </w:r>
    </w:p>
    <w:p w14:paraId="3A7E613D" w14:textId="77777777" w:rsidR="00C13497" w:rsidRDefault="00C13497">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1D652D11" w14:textId="77777777" w:rsidR="00C13497" w:rsidRDefault="003772CF">
      <w:pPr>
        <w:pStyle w:val="Paragraphedeliste"/>
        <w:numPr>
          <w:ilvl w:val="0"/>
          <w:numId w:val="9"/>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 xml:space="preserve">Pour le bénéficiaire du TMDH, la subvention aux ménages bénéficiaires est payable tous les 2 mois par site auprès d’une caisse </w:t>
      </w:r>
      <w:proofErr w:type="gramStart"/>
      <w:r>
        <w:rPr>
          <w:rFonts w:ascii="Times New Roman" w:hAnsi="Times New Roman"/>
          <w:sz w:val="24"/>
          <w:szCs w:val="24"/>
          <w:lang w:val="fr-FR"/>
        </w:rPr>
        <w:t>fixe  selon</w:t>
      </w:r>
      <w:proofErr w:type="gramEnd"/>
      <w:r>
        <w:rPr>
          <w:rFonts w:ascii="Times New Roman" w:hAnsi="Times New Roman"/>
          <w:sz w:val="24"/>
          <w:szCs w:val="24"/>
          <w:lang w:val="fr-FR"/>
        </w:rPr>
        <w:t xml:space="preserve"> le calendrier défini par les deux parties (FID et prestataire de service) ou via mobile money et perçu selon la disponibilité des bénéficiaires.</w:t>
      </w:r>
    </w:p>
    <w:p w14:paraId="4D7E98BA" w14:textId="77777777" w:rsidR="00C13497" w:rsidRDefault="003772CF">
      <w:pPr>
        <w:pStyle w:val="Paragraphedeliste"/>
        <w:numPr>
          <w:ilvl w:val="0"/>
          <w:numId w:val="9"/>
        </w:numPr>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Il est prévu 6 paiements par an soit 15 paiements pour toute la durée du projet.</w:t>
      </w:r>
    </w:p>
    <w:p w14:paraId="3ACD1CE3" w14:textId="77777777" w:rsidR="00C13497" w:rsidRDefault="00C13497">
      <w:pPr>
        <w:pStyle w:val="Paragraphedeliste"/>
        <w:shd w:val="clear" w:color="auto" w:fill="FFFFFF" w:themeFill="background1"/>
        <w:spacing w:after="0" w:line="240" w:lineRule="auto"/>
        <w:ind w:left="567" w:right="567"/>
        <w:jc w:val="both"/>
        <w:rPr>
          <w:rFonts w:ascii="Times New Roman" w:hAnsi="Times New Roman"/>
          <w:sz w:val="24"/>
          <w:szCs w:val="24"/>
          <w:lang w:val="fr-FR"/>
        </w:rPr>
      </w:pPr>
    </w:p>
    <w:p w14:paraId="69D9FF10" w14:textId="6CF8A7CA" w:rsidR="00C13497" w:rsidRDefault="003772CF">
      <w:pPr>
        <w:pStyle w:val="Paragraphedeliste"/>
        <w:shd w:val="clear" w:color="auto" w:fill="FFFFFF" w:themeFill="background1"/>
        <w:spacing w:after="0" w:line="240" w:lineRule="auto"/>
        <w:ind w:right="567"/>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P</w:t>
      </w:r>
      <w:r>
        <w:rPr>
          <w:rFonts w:ascii="Times New Roman" w:hAnsi="Times New Roman"/>
          <w:sz w:val="24"/>
          <w:szCs w:val="24"/>
          <w:lang w:val="fr-FR"/>
        </w:rPr>
        <w:t xml:space="preserve">restataire de </w:t>
      </w:r>
      <w:r w:rsidR="00B95084">
        <w:rPr>
          <w:rFonts w:ascii="Times New Roman" w:hAnsi="Times New Roman"/>
          <w:sz w:val="24"/>
          <w:szCs w:val="24"/>
          <w:lang w:val="fr-FR"/>
        </w:rPr>
        <w:t xml:space="preserve">Service </w:t>
      </w:r>
      <w:r>
        <w:rPr>
          <w:rFonts w:ascii="Times New Roman" w:hAnsi="Times New Roman"/>
          <w:sz w:val="24"/>
          <w:szCs w:val="24"/>
          <w:lang w:val="fr-FR"/>
        </w:rPr>
        <w:t>développera les concepts de caisse fixe ou cash point dans leur offre en précisant les existants et les modalités d’approvisionnement proposés.</w:t>
      </w:r>
    </w:p>
    <w:p w14:paraId="6B1AF768" w14:textId="77777777" w:rsidR="00C13497" w:rsidRDefault="00C13497">
      <w:pPr>
        <w:shd w:val="clear" w:color="auto" w:fill="FFFFFF" w:themeFill="background1"/>
        <w:rPr>
          <w:rFonts w:eastAsia="Calibri"/>
          <w:lang w:eastAsia="en-US"/>
        </w:rPr>
      </w:pPr>
    </w:p>
    <w:p w14:paraId="04922E85" w14:textId="77777777" w:rsidR="00C13497" w:rsidRDefault="003772CF">
      <w:pPr>
        <w:shd w:val="clear" w:color="auto" w:fill="FFFFFF" w:themeFill="background1"/>
        <w:outlineLvl w:val="0"/>
        <w:rPr>
          <w:b/>
          <w:i/>
        </w:rPr>
      </w:pPr>
      <w:r>
        <w:rPr>
          <w:b/>
          <w:i/>
        </w:rPr>
        <w:tab/>
        <w:t>3.2 Modalité de paiement des bénéficiaires</w:t>
      </w:r>
    </w:p>
    <w:p w14:paraId="770F60C8" w14:textId="77777777" w:rsidR="00C13497" w:rsidRDefault="00C13497">
      <w:pPr>
        <w:shd w:val="clear" w:color="auto" w:fill="FFFFFF" w:themeFill="background1"/>
        <w:outlineLvl w:val="0"/>
        <w:rPr>
          <w:b/>
          <w:i/>
        </w:rPr>
      </w:pPr>
    </w:p>
    <w:p w14:paraId="2400C8E7" w14:textId="77777777" w:rsidR="00C13497" w:rsidRDefault="003772CF">
      <w:pPr>
        <w:pStyle w:val="Paragraphedeliste"/>
        <w:shd w:val="clear" w:color="auto" w:fill="FFFFFF" w:themeFill="background1"/>
        <w:spacing w:after="0" w:line="240" w:lineRule="auto"/>
        <w:ind w:left="0" w:right="567"/>
        <w:jc w:val="both"/>
        <w:rPr>
          <w:rFonts w:ascii="Times New Roman" w:hAnsi="Times New Roman"/>
          <w:sz w:val="24"/>
          <w:szCs w:val="24"/>
          <w:lang w:val="fr-FR"/>
        </w:rPr>
      </w:pPr>
      <w:r>
        <w:rPr>
          <w:rFonts w:ascii="Times New Roman" w:hAnsi="Times New Roman"/>
          <w:sz w:val="24"/>
          <w:szCs w:val="24"/>
          <w:lang w:val="fr-FR"/>
        </w:rPr>
        <w:t xml:space="preserve">Pour le cas des prestataires des Mobile Money : </w:t>
      </w:r>
    </w:p>
    <w:p w14:paraId="4D27FD4A"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sz w:val="24"/>
          <w:szCs w:val="24"/>
          <w:lang w:val="fr-FR"/>
        </w:rPr>
      </w:pPr>
    </w:p>
    <w:p w14:paraId="122CE2A4" w14:textId="77777777" w:rsidR="00C13497" w:rsidRPr="00DB19B8"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sidRPr="00DB19B8">
        <w:rPr>
          <w:rFonts w:ascii="Times New Roman" w:hAnsi="Times New Roman"/>
          <w:sz w:val="24"/>
          <w:szCs w:val="24"/>
          <w:lang w:val="fr-FR"/>
        </w:rPr>
        <w:t>Avant les premiers transferts, le prestataire de service offrira, pour chaque Fokontany, une formation aux bénéficiaires sur la manipulation des postes téléphoniques, le mode de paiement (utilisation de leur service de mobile money ou autres) et tout le processus qui l'accompagne.</w:t>
      </w:r>
      <w:r w:rsidR="004104DD" w:rsidRPr="00DB19B8">
        <w:rPr>
          <w:rFonts w:ascii="Times New Roman" w:hAnsi="Times New Roman"/>
          <w:sz w:val="24"/>
          <w:szCs w:val="24"/>
          <w:lang w:val="fr-FR"/>
        </w:rPr>
        <w:t xml:space="preserve"> Le prestataire doit prévoir du personnel qualifié et suffisant et une durée suffisante compte tenu du niveau d’instruction des bénéficiaires. La formation pratique est particulièrement privilégiée.</w:t>
      </w:r>
    </w:p>
    <w:p w14:paraId="5EFF707D" w14:textId="77777777" w:rsidR="00C13497" w:rsidRDefault="00C13497">
      <w:pPr>
        <w:pStyle w:val="Paragraphedeliste"/>
        <w:shd w:val="clear" w:color="auto" w:fill="FFFFFF" w:themeFill="background1"/>
        <w:jc w:val="both"/>
        <w:rPr>
          <w:rFonts w:ascii="Times New Roman" w:hAnsi="Times New Roman"/>
          <w:b/>
          <w:i/>
          <w:sz w:val="24"/>
          <w:szCs w:val="24"/>
        </w:rPr>
      </w:pPr>
    </w:p>
    <w:p w14:paraId="088B4D1F" w14:textId="77777777" w:rsidR="00C13497" w:rsidRDefault="003772CF">
      <w:pPr>
        <w:pStyle w:val="Paragraphedeliste"/>
        <w:numPr>
          <w:ilvl w:val="0"/>
          <w:numId w:val="3"/>
        </w:numPr>
        <w:shd w:val="clear" w:color="auto" w:fill="FFFFFF" w:themeFill="background1"/>
        <w:jc w:val="both"/>
      </w:pPr>
      <w:r>
        <w:rPr>
          <w:rFonts w:ascii="Times New Roman" w:hAnsi="Times New Roman"/>
          <w:sz w:val="24"/>
          <w:szCs w:val="24"/>
          <w:lang w:val="fr-FR"/>
        </w:rPr>
        <w:t xml:space="preserve">Le paiement des transferts aux bénéficiaires du programme se fera par mobile money donc le retrait des fonds n’est pas organisé et les bénéficiaires sont libres de retirer ou non </w:t>
      </w:r>
      <w:proofErr w:type="gramStart"/>
      <w:r>
        <w:rPr>
          <w:rFonts w:ascii="Times New Roman" w:hAnsi="Times New Roman"/>
          <w:sz w:val="24"/>
          <w:szCs w:val="24"/>
          <w:lang w:val="fr-FR"/>
        </w:rPr>
        <w:t>leur bénéfices</w:t>
      </w:r>
      <w:proofErr w:type="gramEnd"/>
      <w:r>
        <w:rPr>
          <w:rFonts w:ascii="Times New Roman" w:hAnsi="Times New Roman"/>
          <w:sz w:val="24"/>
          <w:szCs w:val="24"/>
          <w:lang w:val="fr-FR"/>
        </w:rPr>
        <w:t xml:space="preserve"> selon leur disponibilité au cours du mois pair (Février – Avril- Juin-Août-Octobre-Décembre).</w:t>
      </w:r>
    </w:p>
    <w:p w14:paraId="631A4C57"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02EF9AA6" w14:textId="77777777"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 Les montants du bénéfice de l’ACT-P et du TMDH sont présentés dans la liste nominative des bénéficiaires qui seront payés après l’émission d’un ordre de virement par le FID en faveur du prestataire de service. Le montant de l’ordre de virement est celui du total des subventions à payer par le prestataire de service.</w:t>
      </w:r>
    </w:p>
    <w:p w14:paraId="3D0C7B24"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22DCEDB2" w14:textId="77777777"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proofErr w:type="gramStart"/>
      <w:r>
        <w:rPr>
          <w:rFonts w:ascii="Times New Roman" w:hAnsi="Times New Roman"/>
          <w:sz w:val="24"/>
          <w:szCs w:val="24"/>
          <w:lang w:val="fr-FR"/>
        </w:rPr>
        <w:t>Le  prestataire</w:t>
      </w:r>
      <w:proofErr w:type="gramEnd"/>
      <w:r>
        <w:rPr>
          <w:rFonts w:ascii="Times New Roman" w:hAnsi="Times New Roman"/>
          <w:sz w:val="24"/>
          <w:szCs w:val="24"/>
          <w:lang w:val="fr-FR"/>
        </w:rPr>
        <w:t xml:space="preserve"> de service effectuera le transfert dans le compte mobile money des bénéficiaires au maximum 07 jours calendaires après la réception du transfert global effectué par le FID ; les bénéficiaires seront notifiés par le procédé « short message service » ou « sms » de l’effectivité du transfert.</w:t>
      </w:r>
    </w:p>
    <w:p w14:paraId="10979970"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22E61403" w14:textId="1E947F37" w:rsidR="00C13497" w:rsidRDefault="003772CF">
      <w:pPr>
        <w:pStyle w:val="Paragraphedeliste"/>
        <w:numPr>
          <w:ilvl w:val="0"/>
          <w:numId w:val="3"/>
        </w:numPr>
        <w:shd w:val="clear" w:color="auto" w:fill="FFFFFF" w:themeFill="background1"/>
        <w:jc w:val="both"/>
      </w:pPr>
      <w:r>
        <w:rPr>
          <w:rFonts w:ascii="Times New Roman" w:hAnsi="Times New Roman"/>
          <w:sz w:val="24"/>
          <w:szCs w:val="24"/>
          <w:lang w:val="fr-FR"/>
        </w:rPr>
        <w:t xml:space="preserve">Le Prestataire de service assurera la disponibilité de liquidité nécessaire prévu pour le retrait au niveau de ces distributeurs fixes pour les opérateurs du mobile money. En cas d’approvisionnement de fonds de ces distributeurs, il assurera la sécurisation de fonds </w:t>
      </w:r>
      <w:r w:rsidR="00DE0F6E">
        <w:rPr>
          <w:rFonts w:ascii="Times New Roman" w:hAnsi="Times New Roman"/>
          <w:sz w:val="24"/>
          <w:szCs w:val="24"/>
          <w:lang w:val="fr-FR"/>
        </w:rPr>
        <w:t xml:space="preserve">avec les escortes armées de la gendarmerie </w:t>
      </w:r>
      <w:r>
        <w:rPr>
          <w:rFonts w:ascii="Times New Roman" w:hAnsi="Times New Roman"/>
          <w:sz w:val="24"/>
          <w:szCs w:val="24"/>
          <w:lang w:val="fr-FR"/>
        </w:rPr>
        <w:t xml:space="preserve">jusqu’aux sites de paiement où leurs points de distribution sont </w:t>
      </w:r>
      <w:r w:rsidR="00DE0F6E">
        <w:rPr>
          <w:rFonts w:ascii="Times New Roman" w:hAnsi="Times New Roman"/>
          <w:sz w:val="24"/>
          <w:szCs w:val="24"/>
          <w:lang w:val="fr-FR"/>
        </w:rPr>
        <w:t>implantés</w:t>
      </w:r>
      <w:r>
        <w:rPr>
          <w:rFonts w:ascii="Times New Roman" w:hAnsi="Times New Roman"/>
          <w:sz w:val="24"/>
          <w:szCs w:val="24"/>
          <w:lang w:val="fr-FR"/>
        </w:rPr>
        <w:t>.</w:t>
      </w:r>
    </w:p>
    <w:p w14:paraId="6F9A8503"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289B19E9" w14:textId="57530DBC" w:rsidR="00DE0F6E" w:rsidRPr="00DB19B8"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Pour les opérateurs </w:t>
      </w:r>
      <w:proofErr w:type="gramStart"/>
      <w:r>
        <w:rPr>
          <w:rFonts w:ascii="Times New Roman" w:hAnsi="Times New Roman"/>
          <w:sz w:val="24"/>
          <w:szCs w:val="24"/>
          <w:lang w:val="fr-FR"/>
        </w:rPr>
        <w:t>de  mobile</w:t>
      </w:r>
      <w:proofErr w:type="gramEnd"/>
      <w:r>
        <w:rPr>
          <w:rFonts w:ascii="Times New Roman" w:hAnsi="Times New Roman"/>
          <w:sz w:val="24"/>
          <w:szCs w:val="24"/>
          <w:lang w:val="fr-FR"/>
        </w:rPr>
        <w:t xml:space="preserve"> money, ils assureront l’accès du FID à leur plateforme pour la vérification des montants transférés sur le compte des bénéficiaires. </w:t>
      </w:r>
    </w:p>
    <w:p w14:paraId="15EDC0B3" w14:textId="291BBFD5" w:rsidR="00C13497" w:rsidRDefault="003772CF" w:rsidP="00DB19B8">
      <w:pPr>
        <w:pStyle w:val="Paragraphedeliste"/>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lastRenderedPageBreak/>
        <w:t xml:space="preserve">Les rapports détaillés du transfert seront alors </w:t>
      </w:r>
      <w:proofErr w:type="gramStart"/>
      <w:r>
        <w:rPr>
          <w:rFonts w:ascii="Times New Roman" w:hAnsi="Times New Roman"/>
          <w:sz w:val="24"/>
          <w:szCs w:val="24"/>
          <w:lang w:val="fr-FR"/>
        </w:rPr>
        <w:t>exporter</w:t>
      </w:r>
      <w:proofErr w:type="gramEnd"/>
      <w:r>
        <w:rPr>
          <w:rFonts w:ascii="Times New Roman" w:hAnsi="Times New Roman"/>
          <w:sz w:val="24"/>
          <w:szCs w:val="24"/>
          <w:lang w:val="fr-FR"/>
        </w:rPr>
        <w:t xml:space="preserve"> via cette plateforme pour la justification des montants reçus par les bénéficiaires.</w:t>
      </w:r>
    </w:p>
    <w:p w14:paraId="5D064933"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55330FE1" w14:textId="41E11847" w:rsidR="00C13497" w:rsidRDefault="003772CF">
      <w:pPr>
        <w:pStyle w:val="Paragraphedeliste"/>
        <w:numPr>
          <w:ilvl w:val="0"/>
          <w:numId w:val="3"/>
        </w:numPr>
        <w:shd w:val="clear" w:color="auto" w:fill="FFFFFF" w:themeFill="background1"/>
        <w:jc w:val="both"/>
      </w:pPr>
      <w:r>
        <w:rPr>
          <w:rFonts w:ascii="Times New Roman" w:hAnsi="Times New Roman"/>
          <w:sz w:val="24"/>
          <w:szCs w:val="24"/>
          <w:lang w:val="fr-FR"/>
        </w:rPr>
        <w:t xml:space="preserve">Le prestataire </w:t>
      </w:r>
      <w:proofErr w:type="gramStart"/>
      <w:r>
        <w:rPr>
          <w:rFonts w:ascii="Times New Roman" w:hAnsi="Times New Roman"/>
          <w:sz w:val="24"/>
          <w:szCs w:val="24"/>
          <w:lang w:val="fr-FR"/>
        </w:rPr>
        <w:t>enverra  07</w:t>
      </w:r>
      <w:proofErr w:type="gramEnd"/>
      <w:r>
        <w:rPr>
          <w:rFonts w:ascii="Times New Roman" w:hAnsi="Times New Roman"/>
          <w:sz w:val="24"/>
          <w:szCs w:val="24"/>
          <w:lang w:val="fr-FR"/>
        </w:rPr>
        <w:t xml:space="preserve"> jours après chaque distribution un état de réconciliation résumant les transferts aux bénéficiaires ainsi que la facture de prestation y afférente. </w:t>
      </w:r>
    </w:p>
    <w:p w14:paraId="22F5093A" w14:textId="77777777" w:rsidR="00C13497" w:rsidRDefault="00C13497">
      <w:pPr>
        <w:pStyle w:val="Paragraphedeliste"/>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jc w:val="both"/>
        <w:rPr>
          <w:rFonts w:ascii="Times New Roman" w:hAnsi="Times New Roman"/>
          <w:sz w:val="24"/>
          <w:szCs w:val="24"/>
          <w:lang w:val="fr-FR"/>
        </w:rPr>
      </w:pPr>
    </w:p>
    <w:p w14:paraId="2D6FAB6C" w14:textId="77777777" w:rsidR="00C13497" w:rsidRDefault="003772CF">
      <w:pPr>
        <w:ind w:left="360" w:right="567"/>
      </w:pPr>
      <w:r>
        <w:t xml:space="preserve">Pour le cas des Institutions de Micro </w:t>
      </w:r>
      <w:proofErr w:type="gramStart"/>
      <w:r>
        <w:t>Finance  (</w:t>
      </w:r>
      <w:proofErr w:type="gramEnd"/>
      <w:r>
        <w:t xml:space="preserve">IMF): </w:t>
      </w:r>
    </w:p>
    <w:p w14:paraId="30100E4D" w14:textId="77777777" w:rsidR="00C13497" w:rsidRDefault="00C13497">
      <w:pPr>
        <w:shd w:val="clear" w:color="auto" w:fill="FFFFFF" w:themeFill="background1"/>
        <w:ind w:right="567"/>
      </w:pPr>
    </w:p>
    <w:p w14:paraId="73015F0F" w14:textId="736D3794" w:rsidR="00C13497" w:rsidRPr="00DB19B8"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sidRPr="005E4135">
        <w:rPr>
          <w:rFonts w:ascii="Times New Roman" w:hAnsi="Times New Roman"/>
          <w:sz w:val="24"/>
          <w:szCs w:val="24"/>
          <w:lang w:val="fr-FR"/>
        </w:rPr>
        <w:t>Avant les premiers transferts, le prestataire de service offrira, pour chaque Fokontany, une formation aux bénéficiaires sur le mode de paiement et tout le processus qui l'accompagne</w:t>
      </w:r>
      <w:r w:rsidRPr="00DB19B8">
        <w:rPr>
          <w:rFonts w:ascii="Times New Roman" w:hAnsi="Times New Roman"/>
          <w:sz w:val="24"/>
          <w:szCs w:val="24"/>
          <w:lang w:val="fr-FR"/>
        </w:rPr>
        <w:t xml:space="preserve">. Pour des commodités pratiques, les formations des Fokontany contigües peuvent être regroupées tout en tenant compte des qualités requises pour les formations d’adultes. </w:t>
      </w:r>
    </w:p>
    <w:p w14:paraId="16A8C068" w14:textId="77777777" w:rsidR="00C13497" w:rsidRDefault="00C13497">
      <w:pPr>
        <w:pStyle w:val="Paragraphedeliste"/>
        <w:shd w:val="clear" w:color="auto" w:fill="FFFFFF" w:themeFill="background1"/>
        <w:ind w:right="567"/>
        <w:jc w:val="both"/>
        <w:rPr>
          <w:rFonts w:ascii="Times New Roman" w:hAnsi="Times New Roman"/>
          <w:color w:val="FF0000"/>
          <w:sz w:val="24"/>
          <w:szCs w:val="24"/>
        </w:rPr>
      </w:pPr>
    </w:p>
    <w:p w14:paraId="62EA164B" w14:textId="77777777"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Le paiement des transferts aux bénéficiaires du programme se fera périodiquement, à des dates communiquées chaque début de mois par FID aux prestataires de service pour qu’il puisse s’organiser dans ce sens.</w:t>
      </w:r>
    </w:p>
    <w:p w14:paraId="49662425"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6E8584AB" w14:textId="45A2196B"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La distribution du montant du bénéfice de l’ACT-P et du TMDH se fera selon la liste nominative des bénéficiaires à payer après l’émission d’un ordre de virement par le FID en faveur du prestataire de service, pour un montant égal à la totalité des subventions à payer par le prestataire de service.</w:t>
      </w:r>
      <w:r w:rsidR="00BD5A13" w:rsidRPr="00BD5A13">
        <w:rPr>
          <w:rFonts w:ascii="Times New Roman" w:eastAsia="Times New Roman" w:hAnsi="Times New Roman"/>
          <w:sz w:val="24"/>
          <w:szCs w:val="24"/>
          <w:lang w:val="fr-FR" w:eastAsia="fr-FR"/>
        </w:rPr>
        <w:t xml:space="preserve"> </w:t>
      </w:r>
      <w:r w:rsidR="00BD5A13" w:rsidRPr="00BD5A13">
        <w:rPr>
          <w:rFonts w:ascii="Times New Roman" w:hAnsi="Times New Roman"/>
          <w:sz w:val="24"/>
          <w:szCs w:val="24"/>
          <w:lang w:val="fr-FR"/>
        </w:rPr>
        <w:t>Seul le récepteur mentionné dans l’état de paiement peut re</w:t>
      </w:r>
      <w:r w:rsidR="00BD5A13">
        <w:rPr>
          <w:rFonts w:ascii="Times New Roman" w:hAnsi="Times New Roman"/>
          <w:sz w:val="24"/>
          <w:szCs w:val="24"/>
          <w:lang w:val="fr-FR"/>
        </w:rPr>
        <w:t>ce</w:t>
      </w:r>
      <w:r w:rsidR="00BD5A13" w:rsidRPr="00BD5A13">
        <w:rPr>
          <w:rFonts w:ascii="Times New Roman" w:hAnsi="Times New Roman"/>
          <w:sz w:val="24"/>
          <w:szCs w:val="24"/>
          <w:lang w:val="fr-FR"/>
        </w:rPr>
        <w:t>voir l’allocation</w:t>
      </w:r>
      <w:r w:rsidR="00BD5A13">
        <w:rPr>
          <w:rFonts w:ascii="Times New Roman" w:hAnsi="Times New Roman"/>
          <w:sz w:val="24"/>
          <w:szCs w:val="24"/>
          <w:lang w:val="fr-FR"/>
        </w:rPr>
        <w:t xml:space="preserve"> sauf procuration de sa part (une fois par an)</w:t>
      </w:r>
      <w:r>
        <w:rPr>
          <w:rFonts w:ascii="Times New Roman" w:hAnsi="Times New Roman"/>
          <w:sz w:val="24"/>
          <w:szCs w:val="24"/>
          <w:lang w:val="fr-FR"/>
        </w:rPr>
        <w:t>.</w:t>
      </w:r>
    </w:p>
    <w:p w14:paraId="133F7D2C"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05B1CDF1" w14:textId="78310439"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proofErr w:type="gramStart"/>
      <w:r>
        <w:rPr>
          <w:rFonts w:ascii="Times New Roman" w:hAnsi="Times New Roman"/>
          <w:sz w:val="24"/>
          <w:szCs w:val="24"/>
          <w:lang w:val="fr-FR"/>
        </w:rPr>
        <w:t xml:space="preserve">Le  </w:t>
      </w:r>
      <w:r w:rsidR="00B95084">
        <w:rPr>
          <w:rFonts w:ascii="Times New Roman" w:hAnsi="Times New Roman"/>
          <w:sz w:val="24"/>
          <w:szCs w:val="24"/>
          <w:lang w:val="fr-FR"/>
        </w:rPr>
        <w:t>Prestataire</w:t>
      </w:r>
      <w:proofErr w:type="gramEnd"/>
      <w:r w:rsidR="00B95084">
        <w:rPr>
          <w:rFonts w:ascii="Times New Roman" w:hAnsi="Times New Roman"/>
          <w:sz w:val="24"/>
          <w:szCs w:val="24"/>
          <w:lang w:val="fr-FR"/>
        </w:rPr>
        <w:t xml:space="preserve"> </w:t>
      </w:r>
      <w:r>
        <w:rPr>
          <w:rFonts w:ascii="Times New Roman" w:hAnsi="Times New Roman"/>
          <w:sz w:val="24"/>
          <w:szCs w:val="24"/>
          <w:lang w:val="fr-FR"/>
        </w:rPr>
        <w:t xml:space="preserve">de </w:t>
      </w:r>
      <w:r w:rsidR="00B95084">
        <w:rPr>
          <w:rFonts w:ascii="Times New Roman" w:hAnsi="Times New Roman"/>
          <w:sz w:val="24"/>
          <w:szCs w:val="24"/>
          <w:lang w:val="fr-FR"/>
        </w:rPr>
        <w:t xml:space="preserve">Service </w:t>
      </w:r>
      <w:r>
        <w:rPr>
          <w:rFonts w:ascii="Times New Roman" w:hAnsi="Times New Roman"/>
          <w:sz w:val="24"/>
          <w:szCs w:val="24"/>
          <w:lang w:val="fr-FR"/>
        </w:rPr>
        <w:t>effectuera le paiement aux bénéficiaires au maximum 07 jours calendaires après la réception du transfert global effectué par le FID.</w:t>
      </w:r>
    </w:p>
    <w:p w14:paraId="11363892"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6824FE58" w14:textId="0B7BFD0A"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Le Prestataire de </w:t>
      </w:r>
      <w:r w:rsidR="00B95084">
        <w:rPr>
          <w:rFonts w:ascii="Times New Roman" w:hAnsi="Times New Roman"/>
          <w:sz w:val="24"/>
          <w:szCs w:val="24"/>
          <w:lang w:val="fr-FR"/>
        </w:rPr>
        <w:t xml:space="preserve">Service </w:t>
      </w:r>
      <w:r>
        <w:rPr>
          <w:rFonts w:ascii="Times New Roman" w:hAnsi="Times New Roman"/>
          <w:sz w:val="24"/>
          <w:szCs w:val="24"/>
          <w:lang w:val="fr-FR"/>
        </w:rPr>
        <w:t>suivra le planning de paiement envoyé par la Direction Inter Régionale du FID à laquelle est rattaché le lot. Des horaires spécifiques seront suivis aussi pour assurer la sécurité des bénéficiaires selon le degré de sécurité des sites de paiement.</w:t>
      </w:r>
    </w:p>
    <w:p w14:paraId="6E3E76D8"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6D62267D" w14:textId="7EE33CDC"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 xml:space="preserve">de </w:t>
      </w:r>
      <w:r w:rsidR="00B95084">
        <w:rPr>
          <w:rFonts w:ascii="Times New Roman" w:hAnsi="Times New Roman"/>
          <w:sz w:val="24"/>
          <w:szCs w:val="24"/>
          <w:lang w:val="fr-FR"/>
        </w:rPr>
        <w:t xml:space="preserve">Service </w:t>
      </w:r>
      <w:r>
        <w:rPr>
          <w:rFonts w:ascii="Times New Roman" w:hAnsi="Times New Roman"/>
          <w:sz w:val="24"/>
          <w:szCs w:val="24"/>
          <w:lang w:val="fr-FR"/>
        </w:rPr>
        <w:t>devra mentionner dans le livret FID de chaque bénéficiaire le montant de chaque transfert de paiement reçu avec tampon et paraphe de l’agence de paiement. Cela suppose que chaque membre doit passer au niveau de la caisse pour émarger sur la liste définitive établie par le FID et le prestataire de service transcrira ce montant dans le livret à titre de reçu de paiement.</w:t>
      </w:r>
      <w:r w:rsidR="001920BE">
        <w:rPr>
          <w:rFonts w:ascii="Times New Roman" w:hAnsi="Times New Roman"/>
          <w:sz w:val="24"/>
          <w:szCs w:val="24"/>
          <w:lang w:val="fr-FR"/>
        </w:rPr>
        <w:t xml:space="preserve"> C’</w:t>
      </w:r>
      <w:r w:rsidR="00BD5A13">
        <w:rPr>
          <w:rFonts w:ascii="Times New Roman" w:hAnsi="Times New Roman"/>
          <w:sz w:val="24"/>
          <w:szCs w:val="24"/>
          <w:lang w:val="fr-FR"/>
        </w:rPr>
        <w:t>est le livret ainsi visé qui est la preuve de l’effectivité du paiement.</w:t>
      </w:r>
    </w:p>
    <w:p w14:paraId="696B8A82"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5DAD9C3B" w14:textId="74FD34C9"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 xml:space="preserve">de </w:t>
      </w:r>
      <w:r w:rsidR="00B95084">
        <w:rPr>
          <w:rFonts w:ascii="Times New Roman" w:hAnsi="Times New Roman"/>
          <w:sz w:val="24"/>
          <w:szCs w:val="24"/>
          <w:lang w:val="fr-FR"/>
        </w:rPr>
        <w:t xml:space="preserve">Service </w:t>
      </w:r>
      <w:r>
        <w:rPr>
          <w:rFonts w:ascii="Times New Roman" w:hAnsi="Times New Roman"/>
          <w:sz w:val="24"/>
          <w:szCs w:val="24"/>
          <w:lang w:val="fr-FR"/>
        </w:rPr>
        <w:t>doit effectuer en totalité le paiement de la somme inscrite dans l’état de paiement en provenance du FID. Par la suite, le bénéficiaire peut faire un dépôt et utiliser son compte comme il le voudra.</w:t>
      </w:r>
    </w:p>
    <w:p w14:paraId="7D052F39" w14:textId="44EEEFE7" w:rsidR="0012320E" w:rsidRDefault="0012320E" w:rsidP="0012320E">
      <w:pPr>
        <w:pStyle w:val="Paragraphedeliste"/>
        <w:numPr>
          <w:ilvl w:val="0"/>
          <w:numId w:val="3"/>
        </w:numPr>
        <w:spacing w:after="120" w:line="240" w:lineRule="auto"/>
        <w:jc w:val="both"/>
      </w:pPr>
      <w:r>
        <w:rPr>
          <w:rFonts w:ascii="Times New Roman" w:eastAsia="Times New Roman" w:hAnsi="Times New Roman"/>
          <w:sz w:val="24"/>
          <w:szCs w:val="24"/>
          <w:lang w:val="fr-FR" w:eastAsia="fr-FR"/>
        </w:rPr>
        <w:lastRenderedPageBreak/>
        <w:t xml:space="preserve">Le Prestataire de </w:t>
      </w:r>
      <w:r w:rsidR="00B95084">
        <w:rPr>
          <w:rFonts w:ascii="Times New Roman" w:eastAsia="Times New Roman" w:hAnsi="Times New Roman"/>
          <w:sz w:val="24"/>
          <w:szCs w:val="24"/>
          <w:lang w:val="fr-FR" w:eastAsia="fr-FR"/>
        </w:rPr>
        <w:t>S</w:t>
      </w:r>
      <w:r>
        <w:rPr>
          <w:rFonts w:ascii="Times New Roman" w:eastAsia="Times New Roman" w:hAnsi="Times New Roman"/>
          <w:sz w:val="24"/>
          <w:szCs w:val="24"/>
          <w:lang w:val="fr-FR" w:eastAsia="fr-FR"/>
        </w:rPr>
        <w:t>ervice devra organiser les paiements de sorte que les bénéficiaires n´attendent pas plus de deux heures à partir de l’heure de début prévue. Plus particulièrement, le prestataire observera les conditions suivantes :</w:t>
      </w:r>
    </w:p>
    <w:p w14:paraId="4AF19059" w14:textId="77777777" w:rsidR="0012320E" w:rsidRDefault="0012320E" w:rsidP="0012320E">
      <w:pPr>
        <w:pStyle w:val="Paragraphedeliste"/>
        <w:numPr>
          <w:ilvl w:val="1"/>
          <w:numId w:val="3"/>
        </w:numPr>
        <w:spacing w:after="120" w:line="240" w:lineRule="auto"/>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Avoir le nombre suffisants d´outils de paiement (exemple : tampon, encreur</w:t>
      </w:r>
      <w:proofErr w:type="gramStart"/>
      <w:r>
        <w:rPr>
          <w:rFonts w:ascii="Times New Roman" w:eastAsia="Times New Roman" w:hAnsi="Times New Roman"/>
          <w:sz w:val="24"/>
          <w:szCs w:val="24"/>
          <w:lang w:val="fr-FR" w:eastAsia="fr-FR"/>
        </w:rPr>
        <w:t xml:space="preserve"> ….</w:t>
      </w:r>
      <w:proofErr w:type="gramEnd"/>
      <w:r>
        <w:rPr>
          <w:rFonts w:ascii="Times New Roman" w:eastAsia="Times New Roman" w:hAnsi="Times New Roman"/>
          <w:sz w:val="24"/>
          <w:szCs w:val="24"/>
          <w:lang w:val="fr-FR" w:eastAsia="fr-FR"/>
        </w:rPr>
        <w:t>.)</w:t>
      </w:r>
    </w:p>
    <w:p w14:paraId="303B7CE0" w14:textId="77777777" w:rsidR="0012320E" w:rsidRDefault="0012320E" w:rsidP="0012320E">
      <w:pPr>
        <w:pStyle w:val="Paragraphedeliste"/>
        <w:numPr>
          <w:ilvl w:val="1"/>
          <w:numId w:val="3"/>
        </w:numPr>
        <w:spacing w:after="120" w:line="240" w:lineRule="auto"/>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Avoir le nombre suffisant de caissiers en fonction du nombre de bénéficiaires (maximum 100 bénéficiaires par caisse)</w:t>
      </w:r>
    </w:p>
    <w:p w14:paraId="75326F58" w14:textId="77777777" w:rsidR="0012320E" w:rsidRDefault="0012320E" w:rsidP="0012320E">
      <w:pPr>
        <w:pStyle w:val="Paragraphedeliste"/>
        <w:numPr>
          <w:ilvl w:val="1"/>
          <w:numId w:val="3"/>
        </w:numPr>
        <w:spacing w:after="120" w:line="240" w:lineRule="auto"/>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Le paiement se fera en respectant l´ordre d´arrivée des bénéficiaires tout en observant la priorité aux : inaptes, femmes enceintes, femmes avec bébé et les personnes très âgées, ainsi que les femmes par rapport aux hommes</w:t>
      </w:r>
    </w:p>
    <w:p w14:paraId="684F58B3" w14:textId="77777777" w:rsidR="00C13497" w:rsidRDefault="00C13497">
      <w:pPr>
        <w:pStyle w:val="Paragraphedeliste"/>
        <w:shd w:val="clear" w:color="auto" w:fill="FFFFFF" w:themeFill="background1"/>
        <w:jc w:val="both"/>
        <w:rPr>
          <w:rFonts w:ascii="Times New Roman" w:hAnsi="Times New Roman"/>
          <w:sz w:val="24"/>
          <w:szCs w:val="24"/>
          <w:lang w:val="fr-FR"/>
        </w:rPr>
      </w:pPr>
    </w:p>
    <w:p w14:paraId="470ABFFE" w14:textId="77777777" w:rsidR="00C13497" w:rsidRDefault="003772CF">
      <w:pPr>
        <w:pStyle w:val="Paragraphedeliste"/>
        <w:numPr>
          <w:ilvl w:val="0"/>
          <w:numId w:val="3"/>
        </w:numPr>
        <w:shd w:val="clear" w:color="auto" w:fill="FFFFFF" w:themeFill="background1"/>
        <w:jc w:val="both"/>
        <w:rPr>
          <w:rFonts w:ascii="Times New Roman" w:hAnsi="Times New Roman"/>
          <w:sz w:val="24"/>
          <w:szCs w:val="24"/>
          <w:lang w:val="fr-FR"/>
        </w:rPr>
      </w:pPr>
      <w:r>
        <w:rPr>
          <w:rFonts w:ascii="Times New Roman" w:hAnsi="Times New Roman"/>
          <w:sz w:val="24"/>
          <w:szCs w:val="24"/>
          <w:lang w:val="fr-FR"/>
        </w:rPr>
        <w:t xml:space="preserve">En cas d’indisponibilité du bénéficiaire au moment de la date prévue de </w:t>
      </w:r>
      <w:proofErr w:type="gramStart"/>
      <w:r>
        <w:rPr>
          <w:rFonts w:ascii="Times New Roman" w:hAnsi="Times New Roman"/>
          <w:sz w:val="24"/>
          <w:szCs w:val="24"/>
          <w:lang w:val="fr-FR"/>
        </w:rPr>
        <w:t>paiement,  passé</w:t>
      </w:r>
      <w:proofErr w:type="gramEnd"/>
      <w:r>
        <w:rPr>
          <w:rFonts w:ascii="Times New Roman" w:hAnsi="Times New Roman"/>
          <w:sz w:val="24"/>
          <w:szCs w:val="24"/>
          <w:lang w:val="fr-FR"/>
        </w:rPr>
        <w:t xml:space="preserve"> ce délai, le prestataire de service cumulera le montant non perçu au prochain paiement du bénéficiaire concerné. Toutefois, avant chaque rapport final à établir à la fin de chaque année, le prestataire reversera dans le compte du FID les reliquats non payés.</w:t>
      </w:r>
    </w:p>
    <w:p w14:paraId="02743B82" w14:textId="77777777" w:rsidR="00C13497" w:rsidRDefault="00C13497">
      <w:pPr>
        <w:pStyle w:val="Paragraphedeliste"/>
        <w:rPr>
          <w:rFonts w:ascii="Times New Roman" w:hAnsi="Times New Roman"/>
          <w:sz w:val="24"/>
          <w:szCs w:val="24"/>
          <w:lang w:val="fr-FR"/>
        </w:rPr>
      </w:pPr>
    </w:p>
    <w:p w14:paraId="401BA199" w14:textId="3F71DF9F" w:rsidR="00C13497" w:rsidRDefault="003772CF">
      <w:pPr>
        <w:pStyle w:val="Paragraphedeliste"/>
        <w:numPr>
          <w:ilvl w:val="0"/>
          <w:numId w:val="3"/>
        </w:numPr>
        <w:shd w:val="clear" w:color="auto" w:fill="FFFFFF" w:themeFill="background1"/>
        <w:jc w:val="both"/>
      </w:pPr>
      <w:r>
        <w:rPr>
          <w:rFonts w:ascii="Times New Roman" w:hAnsi="Times New Roman"/>
          <w:sz w:val="24"/>
          <w:szCs w:val="24"/>
          <w:lang w:val="fr-FR"/>
        </w:rPr>
        <w:t xml:space="preserve">Le </w:t>
      </w:r>
      <w:r w:rsidR="00B95084">
        <w:rPr>
          <w:rFonts w:ascii="Times New Roman" w:hAnsi="Times New Roman"/>
          <w:sz w:val="24"/>
          <w:szCs w:val="24"/>
          <w:lang w:val="fr-FR"/>
        </w:rPr>
        <w:t xml:space="preserve">Prestataire </w:t>
      </w:r>
      <w:r>
        <w:rPr>
          <w:rFonts w:ascii="Times New Roman" w:hAnsi="Times New Roman"/>
          <w:sz w:val="24"/>
          <w:szCs w:val="24"/>
          <w:lang w:val="fr-FR"/>
        </w:rPr>
        <w:t>enverra 07 jours après chaque distribution un état de réconciliation résumant les transferts aux bénéficiaires ainsi que la facture de prestation y afférente. </w:t>
      </w:r>
    </w:p>
    <w:p w14:paraId="7F134D56" w14:textId="77777777" w:rsidR="00C13497" w:rsidRDefault="00C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pPr>
    </w:p>
    <w:p w14:paraId="228ADC86" w14:textId="0E9CB267" w:rsidR="00C13497" w:rsidRDefault="003772CF">
      <w:pPr>
        <w:shd w:val="clear" w:color="auto" w:fill="FFFFFF" w:themeFill="background1"/>
      </w:pPr>
      <w:r>
        <w:t xml:space="preserve">Le </w:t>
      </w:r>
      <w:r w:rsidR="00B95084">
        <w:t>P</w:t>
      </w:r>
      <w:r>
        <w:t xml:space="preserve">restataire précisera dans sa méthodologie le traitement des cas suivants : </w:t>
      </w:r>
    </w:p>
    <w:p w14:paraId="443AB2F5" w14:textId="2C74D284" w:rsidR="00C13497" w:rsidRDefault="003772CF">
      <w:pPr>
        <w:numPr>
          <w:ilvl w:val="0"/>
          <w:numId w:val="1"/>
        </w:numPr>
        <w:shd w:val="clear" w:color="auto" w:fill="FFFFFF" w:themeFill="background1"/>
        <w:tabs>
          <w:tab w:val="left" w:pos="1068"/>
        </w:tabs>
        <w:ind w:left="1068"/>
      </w:pPr>
      <w:r>
        <w:t>Des pertes ou usure des livrets</w:t>
      </w:r>
      <w:r w:rsidR="000442AE">
        <w:t xml:space="preserve"> </w:t>
      </w:r>
      <w:r>
        <w:t>ou puces ;</w:t>
      </w:r>
    </w:p>
    <w:p w14:paraId="1AF03646" w14:textId="77777777" w:rsidR="00C13497" w:rsidRDefault="003772CF">
      <w:pPr>
        <w:numPr>
          <w:ilvl w:val="0"/>
          <w:numId w:val="1"/>
        </w:numPr>
        <w:shd w:val="clear" w:color="auto" w:fill="FFFFFF" w:themeFill="background1"/>
        <w:tabs>
          <w:tab w:val="left" w:pos="1068"/>
        </w:tabs>
        <w:ind w:left="1068"/>
      </w:pPr>
      <w:r>
        <w:t>Utilisation illégale des comptes,</w:t>
      </w:r>
    </w:p>
    <w:p w14:paraId="38CDEF89" w14:textId="77777777" w:rsidR="00C13497" w:rsidRDefault="003772CF">
      <w:pPr>
        <w:numPr>
          <w:ilvl w:val="0"/>
          <w:numId w:val="1"/>
        </w:numPr>
        <w:shd w:val="clear" w:color="auto" w:fill="FFFFFF" w:themeFill="background1"/>
        <w:tabs>
          <w:tab w:val="left" w:pos="1068"/>
        </w:tabs>
        <w:ind w:left="1068"/>
      </w:pPr>
      <w:r>
        <w:t>Intégration en cours de contrat de nouveaux bénéficiaires.</w:t>
      </w:r>
    </w:p>
    <w:p w14:paraId="4F6B1DAE" w14:textId="6A916AFD" w:rsidR="00C13497" w:rsidRDefault="003772CF">
      <w:pPr>
        <w:shd w:val="clear" w:color="auto" w:fill="FFFFFF" w:themeFill="background1"/>
      </w:pPr>
      <w:r>
        <w:t xml:space="preserve">Le </w:t>
      </w:r>
      <w:r w:rsidR="00B95084">
        <w:t xml:space="preserve">Prestataire </w:t>
      </w:r>
      <w:r>
        <w:t>proposera dans son offre sa méthodologie de traitement des erreurs liés aux transferts telles que :</w:t>
      </w:r>
    </w:p>
    <w:p w14:paraId="5B5E7DEB" w14:textId="77777777" w:rsidR="00C13497" w:rsidRDefault="003772CF">
      <w:pPr>
        <w:numPr>
          <w:ilvl w:val="0"/>
          <w:numId w:val="10"/>
        </w:numPr>
        <w:shd w:val="clear" w:color="auto" w:fill="FFFFFF" w:themeFill="background1"/>
      </w:pPr>
      <w:r>
        <w:t>En cas de surplus ou de manque dans les fonds à être payés aux bénéficiaires ;</w:t>
      </w:r>
    </w:p>
    <w:p w14:paraId="531174D0" w14:textId="77777777" w:rsidR="00C13497" w:rsidRDefault="003772CF">
      <w:pPr>
        <w:numPr>
          <w:ilvl w:val="0"/>
          <w:numId w:val="10"/>
        </w:numPr>
        <w:shd w:val="clear" w:color="auto" w:fill="FFFFFF" w:themeFill="background1"/>
      </w:pPr>
      <w:r>
        <w:t>En cas d’erreur sur le bénéficiaire :</w:t>
      </w:r>
    </w:p>
    <w:p w14:paraId="5FBB4499" w14:textId="77777777" w:rsidR="00C13497" w:rsidRDefault="00C13497">
      <w:pPr>
        <w:shd w:val="clear" w:color="auto" w:fill="FFFFFF" w:themeFill="background1"/>
      </w:pPr>
    </w:p>
    <w:p w14:paraId="2E439725" w14:textId="77777777" w:rsidR="00C13497" w:rsidRDefault="003772CF">
      <w:pPr>
        <w:shd w:val="clear" w:color="auto" w:fill="FFFFFF" w:themeFill="background1"/>
      </w:pPr>
      <w:r>
        <w:t xml:space="preserve">En cas d’indisponibilité temporaire (maladie, raison </w:t>
      </w:r>
      <w:proofErr w:type="gramStart"/>
      <w:r>
        <w:t>professionnelle,..</w:t>
      </w:r>
      <w:proofErr w:type="gramEnd"/>
      <w:r>
        <w:t>) ou définitive (décès) du récepteur inscrit dans la liste nominative initialement fournie par le FID, ce dernier informera le prestataire de tout changement pour les régularisations nécessaires. La modification de la liste des bénéficiaires sera faite uniquement par le FID.</w:t>
      </w:r>
    </w:p>
    <w:p w14:paraId="720A400E" w14:textId="77777777" w:rsidR="00C13497" w:rsidRDefault="00C13497">
      <w:pPr>
        <w:shd w:val="clear" w:color="auto" w:fill="FFFFFF" w:themeFill="background1"/>
      </w:pPr>
    </w:p>
    <w:p w14:paraId="0E483C38" w14:textId="77777777" w:rsidR="00C13497" w:rsidRDefault="003772CF">
      <w:pPr>
        <w:shd w:val="clear" w:color="auto" w:fill="FFFFFF" w:themeFill="background1"/>
      </w:pPr>
      <w:r>
        <w:t>Le paiement du transfert sera sécurisé par :</w:t>
      </w:r>
    </w:p>
    <w:p w14:paraId="043AEFD0" w14:textId="77777777" w:rsidR="00C13497" w:rsidRDefault="003772CF">
      <w:pPr>
        <w:pStyle w:val="Paragraphedeliste"/>
        <w:numPr>
          <w:ilvl w:val="0"/>
          <w:numId w:val="2"/>
        </w:numPr>
        <w:shd w:val="clear" w:color="auto" w:fill="FFFFFF" w:themeFill="background1"/>
        <w:spacing w:after="0" w:line="240" w:lineRule="auto"/>
        <w:ind w:left="567" w:right="567"/>
        <w:jc w:val="both"/>
        <w:rPr>
          <w:rFonts w:ascii="Times New Roman" w:hAnsi="Times New Roman"/>
          <w:sz w:val="24"/>
          <w:szCs w:val="24"/>
          <w:lang w:val="fr-FR"/>
        </w:rPr>
      </w:pPr>
      <w:proofErr w:type="gramStart"/>
      <w:r>
        <w:rPr>
          <w:rFonts w:ascii="Times New Roman" w:hAnsi="Times New Roman"/>
          <w:sz w:val="24"/>
          <w:szCs w:val="24"/>
          <w:lang w:val="fr-FR"/>
        </w:rPr>
        <w:t>le</w:t>
      </w:r>
      <w:proofErr w:type="gramEnd"/>
      <w:r>
        <w:rPr>
          <w:rFonts w:ascii="Times New Roman" w:hAnsi="Times New Roman"/>
          <w:sz w:val="24"/>
          <w:szCs w:val="24"/>
          <w:lang w:val="fr-FR"/>
        </w:rPr>
        <w:t xml:space="preserve"> virement bancaire entre les comptes dédiés Projet du FID et du prestataire de service. A ce titre, le prestataire de service doit obligatoirement ouvrir, dans une banque primaire, un compte spécifique dont l’intitulé sera : </w:t>
      </w:r>
      <w:proofErr w:type="gramStart"/>
      <w:r>
        <w:rPr>
          <w:rFonts w:ascii="Times New Roman" w:hAnsi="Times New Roman"/>
          <w:sz w:val="24"/>
          <w:szCs w:val="24"/>
          <w:lang w:val="fr-FR"/>
        </w:rPr>
        <w:t xml:space="preserve">«  </w:t>
      </w:r>
      <w:r>
        <w:rPr>
          <w:rFonts w:ascii="Times New Roman" w:hAnsi="Times New Roman"/>
          <w:b/>
          <w:sz w:val="24"/>
          <w:szCs w:val="24"/>
          <w:u w:val="single"/>
          <w:lang w:val="fr-FR"/>
        </w:rPr>
        <w:t>FID</w:t>
      </w:r>
      <w:proofErr w:type="gramEnd"/>
      <w:r>
        <w:rPr>
          <w:rFonts w:ascii="Times New Roman" w:hAnsi="Times New Roman"/>
          <w:b/>
          <w:sz w:val="24"/>
          <w:szCs w:val="24"/>
          <w:u w:val="single"/>
          <w:lang w:val="fr-FR"/>
        </w:rPr>
        <w:t xml:space="preserve">/ FSS FA2  « nom IMF ou Opérateur mobile » </w:t>
      </w:r>
      <w:r>
        <w:rPr>
          <w:rFonts w:ascii="Times New Roman" w:hAnsi="Times New Roman"/>
          <w:sz w:val="24"/>
          <w:szCs w:val="24"/>
          <w:lang w:val="fr-FR"/>
        </w:rPr>
        <w:t>Ce compte spécifique recevra uniquement et exclusivement les fonds virés par le FID et ne sera mouvementé que pour les activités liées aux programmes du FID ;</w:t>
      </w:r>
    </w:p>
    <w:p w14:paraId="640EAC44" w14:textId="77777777" w:rsidR="00C13497" w:rsidRDefault="00C13497">
      <w:pPr>
        <w:pStyle w:val="Paragraphedeliste"/>
        <w:shd w:val="clear" w:color="auto" w:fill="FFFFFF" w:themeFill="background1"/>
        <w:ind w:left="567" w:right="567"/>
        <w:jc w:val="both"/>
        <w:rPr>
          <w:rFonts w:ascii="Times New Roman" w:hAnsi="Times New Roman"/>
          <w:sz w:val="24"/>
          <w:szCs w:val="24"/>
          <w:lang w:val="fr-FR"/>
        </w:rPr>
      </w:pPr>
    </w:p>
    <w:p w14:paraId="21F3A544" w14:textId="77777777" w:rsidR="00C13497" w:rsidRDefault="003772CF">
      <w:pPr>
        <w:pStyle w:val="Paragraphedeliste"/>
        <w:numPr>
          <w:ilvl w:val="0"/>
          <w:numId w:val="2"/>
        </w:numPr>
        <w:shd w:val="clear" w:color="auto" w:fill="FFFFFF" w:themeFill="background1"/>
        <w:spacing w:after="0" w:line="240" w:lineRule="auto"/>
        <w:ind w:left="567" w:right="567"/>
        <w:jc w:val="both"/>
        <w:rPr>
          <w:rFonts w:ascii="Times New Roman" w:hAnsi="Times New Roman"/>
          <w:sz w:val="24"/>
          <w:szCs w:val="24"/>
          <w:lang w:val="fr-FR"/>
        </w:rPr>
      </w:pPr>
      <w:proofErr w:type="gramStart"/>
      <w:r>
        <w:rPr>
          <w:rFonts w:ascii="Times New Roman" w:hAnsi="Times New Roman"/>
          <w:sz w:val="24"/>
          <w:szCs w:val="24"/>
          <w:lang w:val="fr-FR"/>
        </w:rPr>
        <w:t>la</w:t>
      </w:r>
      <w:proofErr w:type="gramEnd"/>
      <w:r>
        <w:rPr>
          <w:rFonts w:ascii="Times New Roman" w:hAnsi="Times New Roman"/>
          <w:sz w:val="24"/>
          <w:szCs w:val="24"/>
          <w:lang w:val="fr-FR"/>
        </w:rPr>
        <w:t xml:space="preserve"> garantie par le prestataire de service de la disponibilité, aux chefs-lieux des communes et des fokontany à proximité de résidences des bénéficiaires, des sommes qui lui ont été virées dans le cadre du paiement des bénéfices.</w:t>
      </w:r>
    </w:p>
    <w:p w14:paraId="1B17DF26" w14:textId="77777777" w:rsidR="00C13497" w:rsidRDefault="00C13497">
      <w:pPr>
        <w:shd w:val="clear" w:color="auto" w:fill="FFFFFF" w:themeFill="background1"/>
        <w:ind w:right="567"/>
      </w:pPr>
    </w:p>
    <w:p w14:paraId="2AE6783C" w14:textId="77777777" w:rsidR="0012320E" w:rsidRDefault="0012320E">
      <w:pPr>
        <w:shd w:val="clear" w:color="auto" w:fill="FFFFFF" w:themeFill="background1"/>
        <w:ind w:right="567"/>
      </w:pPr>
    </w:p>
    <w:p w14:paraId="669F539C" w14:textId="77777777" w:rsidR="0012320E" w:rsidRDefault="0012320E">
      <w:pPr>
        <w:shd w:val="clear" w:color="auto" w:fill="FFFFFF" w:themeFill="background1"/>
        <w:ind w:right="567"/>
      </w:pPr>
    </w:p>
    <w:p w14:paraId="09578242" w14:textId="77777777" w:rsidR="0012320E" w:rsidRDefault="0012320E">
      <w:pPr>
        <w:shd w:val="clear" w:color="auto" w:fill="FFFFFF" w:themeFill="background1"/>
        <w:ind w:right="567"/>
      </w:pPr>
    </w:p>
    <w:p w14:paraId="7DD8662E" w14:textId="77777777" w:rsidR="00C13497" w:rsidRDefault="00C13497">
      <w:pPr>
        <w:shd w:val="clear" w:color="auto" w:fill="FFFFFF" w:themeFill="background1"/>
        <w:ind w:right="567"/>
      </w:pPr>
    </w:p>
    <w:p w14:paraId="71D4E772" w14:textId="77777777" w:rsidR="00C13497" w:rsidRDefault="003772CF">
      <w:pPr>
        <w:shd w:val="clear" w:color="auto" w:fill="FFFFFF" w:themeFill="background1"/>
        <w:ind w:right="567"/>
        <w:outlineLvl w:val="0"/>
        <w:rPr>
          <w:b/>
          <w:i/>
        </w:rPr>
      </w:pPr>
      <w:r>
        <w:rPr>
          <w:b/>
          <w:i/>
        </w:rPr>
        <w:lastRenderedPageBreak/>
        <w:tab/>
        <w:t>3.3 Zones d’intervention</w:t>
      </w:r>
    </w:p>
    <w:p w14:paraId="0FC0009F"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p>
    <w:p w14:paraId="53E47F25" w14:textId="27D7506D" w:rsidR="00C13497" w:rsidRDefault="003772CF">
      <w:pPr>
        <w:ind w:right="567"/>
      </w:pPr>
      <w:r>
        <w:t xml:space="preserve">Pour l’ACTP, les activités sont exécutées dans 07 districts </w:t>
      </w:r>
      <w:proofErr w:type="spellStart"/>
      <w:r>
        <w:t>Antanifotsy</w:t>
      </w:r>
      <w:proofErr w:type="spellEnd"/>
      <w:r>
        <w:t xml:space="preserve">, </w:t>
      </w:r>
      <w:proofErr w:type="spellStart"/>
      <w:r>
        <w:t>Isandra</w:t>
      </w:r>
      <w:proofErr w:type="spellEnd"/>
      <w:r>
        <w:t xml:space="preserve">, </w:t>
      </w:r>
      <w:proofErr w:type="spellStart"/>
      <w:r>
        <w:t>Manakara</w:t>
      </w:r>
      <w:proofErr w:type="spellEnd"/>
      <w:r>
        <w:t xml:space="preserve">, Ankazoabo, </w:t>
      </w:r>
      <w:proofErr w:type="spellStart"/>
      <w:r>
        <w:t>Vatomandry</w:t>
      </w:r>
      <w:proofErr w:type="spellEnd"/>
      <w:r>
        <w:t xml:space="preserve">, </w:t>
      </w:r>
      <w:proofErr w:type="spellStart"/>
      <w:r w:rsidR="00BD5A13">
        <w:t>Amoron’i</w:t>
      </w:r>
      <w:proofErr w:type="spellEnd"/>
      <w:r w:rsidR="00BD5A13">
        <w:t xml:space="preserve"> Mania </w:t>
      </w:r>
      <w:r>
        <w:t xml:space="preserve">et </w:t>
      </w:r>
      <w:proofErr w:type="spellStart"/>
      <w:r w:rsidR="00BD5A13">
        <w:t>Itasy</w:t>
      </w:r>
      <w:proofErr w:type="spellEnd"/>
      <w:r>
        <w:t>. Ci-dessous les nombres de bénéficiaires prévisionnels ainsi que le montant total des transferts correspondant pour la durée du programme.</w:t>
      </w:r>
    </w:p>
    <w:p w14:paraId="7D2CD7BE" w14:textId="77777777" w:rsidR="0012320E" w:rsidRDefault="0012320E">
      <w:pPr>
        <w:ind w:right="567"/>
      </w:pPr>
    </w:p>
    <w:p w14:paraId="7FEE8ECC" w14:textId="77777777" w:rsidR="00C13497" w:rsidRDefault="00C13497">
      <w:pPr>
        <w:ind w:right="567"/>
      </w:pPr>
    </w:p>
    <w:p w14:paraId="7DE91893" w14:textId="77777777" w:rsidR="00C13497" w:rsidRDefault="003772CF">
      <w:pPr>
        <w:ind w:right="567"/>
        <w:rPr>
          <w:b/>
          <w:i/>
        </w:rPr>
      </w:pPr>
      <w:r>
        <w:rPr>
          <w:b/>
          <w:i/>
        </w:rPr>
        <w:t>Tableau1- Nombre de bénéficiaires et de transferts ACTP</w:t>
      </w:r>
    </w:p>
    <w:p w14:paraId="7260B1F7" w14:textId="77777777" w:rsidR="00C13497" w:rsidRDefault="00C13497">
      <w:pPr>
        <w:ind w:right="567"/>
      </w:pPr>
    </w:p>
    <w:tbl>
      <w:tblPr>
        <w:tblW w:w="9498" w:type="dxa"/>
        <w:tblInd w:w="-10" w:type="dxa"/>
        <w:tblBorders>
          <w:top w:val="single" w:sz="8" w:space="0" w:color="000000"/>
          <w:left w:val="single" w:sz="8" w:space="0" w:color="000000"/>
          <w:right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1664"/>
        <w:gridCol w:w="1738"/>
        <w:gridCol w:w="1276"/>
        <w:gridCol w:w="1559"/>
        <w:gridCol w:w="1276"/>
        <w:gridCol w:w="1985"/>
      </w:tblGrid>
      <w:tr w:rsidR="00BD5A13" w14:paraId="6EEAAF27" w14:textId="77777777" w:rsidTr="00DB19B8">
        <w:trPr>
          <w:trHeight w:val="1455"/>
        </w:trPr>
        <w:tc>
          <w:tcPr>
            <w:tcW w:w="1664" w:type="dxa"/>
            <w:tcBorders>
              <w:top w:val="single" w:sz="8" w:space="0" w:color="000000"/>
              <w:left w:val="single" w:sz="8" w:space="0" w:color="000000"/>
              <w:right w:val="single" w:sz="8" w:space="0" w:color="000000"/>
            </w:tcBorders>
            <w:shd w:val="clear" w:color="auto" w:fill="auto"/>
            <w:vAlign w:val="center"/>
          </w:tcPr>
          <w:p w14:paraId="02984699" w14:textId="77777777" w:rsidR="00C13497" w:rsidRDefault="003772CF">
            <w:pPr>
              <w:jc w:val="center"/>
              <w:rPr>
                <w:rFonts w:ascii="Calibri" w:hAnsi="Calibri" w:cs="Calibri"/>
                <w:b/>
                <w:color w:val="000000"/>
                <w:sz w:val="20"/>
                <w:szCs w:val="20"/>
              </w:rPr>
            </w:pPr>
            <w:r>
              <w:rPr>
                <w:rFonts w:ascii="Calibri" w:hAnsi="Calibri"/>
                <w:b/>
                <w:color w:val="000000"/>
                <w:sz w:val="20"/>
                <w:szCs w:val="20"/>
              </w:rPr>
              <w:t>REGION</w:t>
            </w:r>
          </w:p>
        </w:tc>
        <w:tc>
          <w:tcPr>
            <w:tcW w:w="1738" w:type="dxa"/>
            <w:tcBorders>
              <w:top w:val="single" w:sz="8" w:space="0" w:color="000000"/>
              <w:right w:val="single" w:sz="8" w:space="0" w:color="000000"/>
            </w:tcBorders>
            <w:shd w:val="clear" w:color="auto" w:fill="auto"/>
            <w:vAlign w:val="center"/>
          </w:tcPr>
          <w:p w14:paraId="26D9046B" w14:textId="77777777" w:rsidR="00C13497" w:rsidRDefault="003772CF">
            <w:pPr>
              <w:jc w:val="center"/>
              <w:rPr>
                <w:rFonts w:ascii="Calibri" w:hAnsi="Calibri" w:cs="Calibri"/>
                <w:b/>
                <w:color w:val="000000"/>
                <w:sz w:val="20"/>
                <w:szCs w:val="20"/>
              </w:rPr>
            </w:pPr>
            <w:r>
              <w:rPr>
                <w:rFonts w:ascii="Calibri" w:hAnsi="Calibri"/>
                <w:b/>
                <w:color w:val="000000"/>
                <w:sz w:val="20"/>
                <w:szCs w:val="20"/>
              </w:rPr>
              <w:t>DISTRICT</w:t>
            </w:r>
          </w:p>
        </w:tc>
        <w:tc>
          <w:tcPr>
            <w:tcW w:w="1276" w:type="dxa"/>
            <w:tcBorders>
              <w:top w:val="single" w:sz="8" w:space="0" w:color="000000"/>
              <w:right w:val="single" w:sz="8" w:space="0" w:color="000000"/>
            </w:tcBorders>
            <w:shd w:val="clear" w:color="auto" w:fill="auto"/>
            <w:vAlign w:val="center"/>
          </w:tcPr>
          <w:p w14:paraId="6E8B567C" w14:textId="77777777" w:rsidR="00C13497" w:rsidRDefault="003772CF">
            <w:pPr>
              <w:jc w:val="center"/>
              <w:rPr>
                <w:rFonts w:ascii="Calibri" w:hAnsi="Calibri" w:cs="Calibri"/>
                <w:b/>
                <w:color w:val="000000"/>
                <w:sz w:val="20"/>
                <w:szCs w:val="20"/>
              </w:rPr>
            </w:pPr>
            <w:r>
              <w:rPr>
                <w:rFonts w:ascii="Calibri" w:hAnsi="Calibri"/>
                <w:b/>
                <w:color w:val="000000"/>
                <w:sz w:val="20"/>
                <w:szCs w:val="20"/>
              </w:rPr>
              <w:t>Nombre prévisionnel des bénéficiaires</w:t>
            </w:r>
          </w:p>
        </w:tc>
        <w:tc>
          <w:tcPr>
            <w:tcW w:w="1559" w:type="dxa"/>
            <w:tcBorders>
              <w:top w:val="single" w:sz="8" w:space="0" w:color="000000"/>
              <w:right w:val="single" w:sz="8" w:space="0" w:color="000000"/>
            </w:tcBorders>
            <w:shd w:val="clear" w:color="auto" w:fill="auto"/>
            <w:vAlign w:val="center"/>
          </w:tcPr>
          <w:p w14:paraId="7281CD2D" w14:textId="77777777" w:rsidR="00C13497" w:rsidRDefault="003772CF">
            <w:pPr>
              <w:jc w:val="center"/>
              <w:rPr>
                <w:rFonts w:ascii="Calibri" w:hAnsi="Calibri" w:cs="Calibri"/>
                <w:b/>
                <w:color w:val="000000"/>
                <w:sz w:val="20"/>
                <w:szCs w:val="20"/>
              </w:rPr>
            </w:pPr>
            <w:r>
              <w:rPr>
                <w:rFonts w:ascii="Calibri" w:hAnsi="Calibri"/>
                <w:b/>
                <w:color w:val="000000"/>
                <w:sz w:val="20"/>
                <w:szCs w:val="20"/>
              </w:rPr>
              <w:t xml:space="preserve"> </w:t>
            </w:r>
            <w:proofErr w:type="gramStart"/>
            <w:r>
              <w:rPr>
                <w:rFonts w:ascii="Calibri" w:hAnsi="Calibri"/>
                <w:b/>
                <w:color w:val="000000"/>
                <w:sz w:val="20"/>
                <w:szCs w:val="20"/>
              </w:rPr>
              <w:t>montant</w:t>
            </w:r>
            <w:proofErr w:type="gramEnd"/>
            <w:r>
              <w:rPr>
                <w:rFonts w:ascii="Calibri" w:hAnsi="Calibri"/>
                <w:b/>
                <w:color w:val="000000"/>
                <w:sz w:val="20"/>
                <w:szCs w:val="20"/>
              </w:rPr>
              <w:t xml:space="preserve"> perçu par le bénéficiaire par transfert </w:t>
            </w:r>
          </w:p>
        </w:tc>
        <w:tc>
          <w:tcPr>
            <w:tcW w:w="1276" w:type="dxa"/>
            <w:tcBorders>
              <w:top w:val="single" w:sz="8" w:space="0" w:color="000000"/>
              <w:right w:val="single" w:sz="8" w:space="0" w:color="000000"/>
            </w:tcBorders>
            <w:shd w:val="clear" w:color="auto" w:fill="auto"/>
            <w:vAlign w:val="center"/>
          </w:tcPr>
          <w:p w14:paraId="78A93A8B" w14:textId="77777777" w:rsidR="00C13497" w:rsidRDefault="003772CF">
            <w:pPr>
              <w:jc w:val="center"/>
              <w:rPr>
                <w:rFonts w:ascii="Calibri" w:hAnsi="Calibri" w:cs="Calibri"/>
                <w:b/>
                <w:color w:val="000000"/>
                <w:sz w:val="20"/>
                <w:szCs w:val="20"/>
              </w:rPr>
            </w:pPr>
            <w:r>
              <w:rPr>
                <w:rFonts w:ascii="Calibri" w:hAnsi="Calibri" w:cs="Calibri"/>
                <w:b/>
                <w:color w:val="000000"/>
                <w:sz w:val="20"/>
                <w:szCs w:val="20"/>
              </w:rPr>
              <w:t xml:space="preserve"> </w:t>
            </w:r>
            <w:proofErr w:type="gramStart"/>
            <w:r>
              <w:rPr>
                <w:rFonts w:ascii="Calibri" w:hAnsi="Calibri" w:cs="Calibri"/>
                <w:b/>
                <w:color w:val="000000"/>
                <w:sz w:val="20"/>
                <w:szCs w:val="20"/>
              </w:rPr>
              <w:t>montant</w:t>
            </w:r>
            <w:proofErr w:type="gramEnd"/>
            <w:r>
              <w:rPr>
                <w:rFonts w:ascii="Calibri" w:hAnsi="Calibri" w:cs="Calibri"/>
                <w:b/>
                <w:color w:val="000000"/>
                <w:sz w:val="20"/>
                <w:szCs w:val="20"/>
              </w:rPr>
              <w:t xml:space="preserve"> perçu par le bénéficiaire par activité (1 activité=3 paiements)</w:t>
            </w:r>
          </w:p>
        </w:tc>
        <w:tc>
          <w:tcPr>
            <w:tcW w:w="1985" w:type="dxa"/>
            <w:tcBorders>
              <w:top w:val="single" w:sz="8" w:space="0" w:color="000000"/>
              <w:right w:val="single" w:sz="8" w:space="0" w:color="000000"/>
            </w:tcBorders>
            <w:shd w:val="clear" w:color="auto" w:fill="auto"/>
            <w:vAlign w:val="center"/>
          </w:tcPr>
          <w:p w14:paraId="0F37E8CD" w14:textId="77777777" w:rsidR="00C13497" w:rsidRDefault="003772CF">
            <w:pPr>
              <w:jc w:val="center"/>
              <w:rPr>
                <w:rFonts w:ascii="Calibri" w:hAnsi="Calibri" w:cs="Calibri"/>
                <w:b/>
                <w:color w:val="000000"/>
                <w:sz w:val="20"/>
                <w:szCs w:val="20"/>
              </w:rPr>
            </w:pPr>
            <w:proofErr w:type="gramStart"/>
            <w:r>
              <w:rPr>
                <w:rFonts w:ascii="Calibri" w:hAnsi="Calibri" w:cs="Calibri"/>
                <w:b/>
                <w:color w:val="000000"/>
                <w:sz w:val="20"/>
                <w:szCs w:val="20"/>
              </w:rPr>
              <w:t>montant</w:t>
            </w:r>
            <w:proofErr w:type="gramEnd"/>
            <w:r>
              <w:rPr>
                <w:rFonts w:ascii="Calibri" w:hAnsi="Calibri" w:cs="Calibri"/>
                <w:b/>
                <w:color w:val="000000"/>
                <w:sz w:val="20"/>
                <w:szCs w:val="20"/>
              </w:rPr>
              <w:t xml:space="preserve"> prévisionnel de transfert durant le programme (12 paiements pour 04 activités)</w:t>
            </w:r>
          </w:p>
        </w:tc>
      </w:tr>
      <w:tr w:rsidR="00BD5A13" w14:paraId="121A3814" w14:textId="77777777" w:rsidTr="00DB19B8">
        <w:trPr>
          <w:trHeight w:val="300"/>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4E4B3A"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VAKINANKARATRA</w:t>
            </w:r>
          </w:p>
        </w:tc>
        <w:tc>
          <w:tcPr>
            <w:tcW w:w="1738" w:type="dxa"/>
            <w:tcBorders>
              <w:top w:val="single" w:sz="4" w:space="0" w:color="000000"/>
              <w:bottom w:val="single" w:sz="4" w:space="0" w:color="000000"/>
              <w:right w:val="single" w:sz="4" w:space="0" w:color="000000"/>
            </w:tcBorders>
            <w:shd w:val="clear" w:color="auto" w:fill="auto"/>
            <w:vAlign w:val="center"/>
          </w:tcPr>
          <w:p w14:paraId="22A8C4D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ANTANIFOTSY</w:t>
            </w:r>
          </w:p>
        </w:tc>
        <w:tc>
          <w:tcPr>
            <w:tcW w:w="1276" w:type="dxa"/>
            <w:tcBorders>
              <w:top w:val="single" w:sz="4" w:space="0" w:color="000000"/>
              <w:bottom w:val="single" w:sz="4" w:space="0" w:color="000000"/>
              <w:right w:val="single" w:sz="4" w:space="0" w:color="000000"/>
            </w:tcBorders>
            <w:shd w:val="clear" w:color="auto" w:fill="auto"/>
            <w:vAlign w:val="bottom"/>
          </w:tcPr>
          <w:p w14:paraId="3F934A1C"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6 808</w:t>
            </w:r>
          </w:p>
        </w:tc>
        <w:tc>
          <w:tcPr>
            <w:tcW w:w="1559" w:type="dxa"/>
            <w:tcBorders>
              <w:top w:val="single" w:sz="4" w:space="0" w:color="000000"/>
              <w:bottom w:val="single" w:sz="4" w:space="0" w:color="000000"/>
              <w:right w:val="single" w:sz="4" w:space="0" w:color="000000"/>
            </w:tcBorders>
            <w:shd w:val="clear" w:color="auto" w:fill="auto"/>
            <w:vAlign w:val="bottom"/>
          </w:tcPr>
          <w:p w14:paraId="108EF94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top w:val="single" w:sz="4" w:space="0" w:color="000000"/>
              <w:bottom w:val="single" w:sz="4" w:space="0" w:color="000000"/>
              <w:right w:val="single" w:sz="4" w:space="0" w:color="000000"/>
            </w:tcBorders>
            <w:shd w:val="clear" w:color="auto" w:fill="auto"/>
            <w:vAlign w:val="bottom"/>
          </w:tcPr>
          <w:p w14:paraId="57FCE75D"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top w:val="single" w:sz="4" w:space="0" w:color="000000"/>
              <w:bottom w:val="single" w:sz="4" w:space="0" w:color="000000"/>
              <w:right w:val="single" w:sz="4" w:space="0" w:color="000000"/>
            </w:tcBorders>
            <w:shd w:val="clear" w:color="auto" w:fill="auto"/>
            <w:vAlign w:val="bottom"/>
          </w:tcPr>
          <w:p w14:paraId="1C44AFD5"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4 901 760 000,00</w:t>
            </w:r>
          </w:p>
        </w:tc>
      </w:tr>
      <w:tr w:rsidR="00BD5A13" w14:paraId="420DE9FD" w14:textId="77777777" w:rsidTr="00DB19B8">
        <w:trPr>
          <w:trHeight w:val="300"/>
        </w:trPr>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60580" w14:textId="77777777" w:rsidR="00C13497" w:rsidRDefault="00C13497">
            <w:pPr>
              <w:jc w:val="left"/>
              <w:rPr>
                <w:rFonts w:ascii="Calibri" w:hAnsi="Calibri" w:cs="Calibri"/>
                <w:color w:val="000000"/>
                <w:sz w:val="20"/>
                <w:szCs w:val="20"/>
              </w:rPr>
            </w:pPr>
          </w:p>
        </w:tc>
        <w:tc>
          <w:tcPr>
            <w:tcW w:w="1738" w:type="dxa"/>
            <w:tcBorders>
              <w:bottom w:val="single" w:sz="4" w:space="0" w:color="000000"/>
              <w:right w:val="single" w:sz="4" w:space="0" w:color="000000"/>
            </w:tcBorders>
            <w:shd w:val="clear" w:color="auto" w:fill="auto"/>
            <w:vAlign w:val="center"/>
          </w:tcPr>
          <w:p w14:paraId="1D6DB5C0" w14:textId="0A352B49" w:rsidR="00C13497" w:rsidRDefault="00BD5A13">
            <w:pPr>
              <w:jc w:val="left"/>
              <w:rPr>
                <w:rFonts w:ascii="Calibri" w:hAnsi="Calibri" w:cs="Calibri"/>
                <w:color w:val="000000"/>
                <w:sz w:val="20"/>
                <w:szCs w:val="20"/>
              </w:rPr>
            </w:pPr>
            <w:r>
              <w:rPr>
                <w:rFonts w:ascii="Calibri" w:hAnsi="Calibri" w:cs="Calibri"/>
                <w:color w:val="000000"/>
                <w:sz w:val="20"/>
                <w:szCs w:val="20"/>
              </w:rPr>
              <w:t>ITASY</w:t>
            </w:r>
          </w:p>
        </w:tc>
        <w:tc>
          <w:tcPr>
            <w:tcW w:w="1276" w:type="dxa"/>
            <w:tcBorders>
              <w:bottom w:val="single" w:sz="4" w:space="0" w:color="000000"/>
              <w:right w:val="single" w:sz="4" w:space="0" w:color="000000"/>
            </w:tcBorders>
            <w:shd w:val="clear" w:color="auto" w:fill="auto"/>
            <w:vAlign w:val="bottom"/>
          </w:tcPr>
          <w:p w14:paraId="14E24DB6"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3 000</w:t>
            </w:r>
          </w:p>
        </w:tc>
        <w:tc>
          <w:tcPr>
            <w:tcW w:w="1559" w:type="dxa"/>
            <w:tcBorders>
              <w:bottom w:val="single" w:sz="4" w:space="0" w:color="000000"/>
              <w:right w:val="single" w:sz="4" w:space="0" w:color="000000"/>
            </w:tcBorders>
            <w:shd w:val="clear" w:color="auto" w:fill="auto"/>
            <w:vAlign w:val="bottom"/>
          </w:tcPr>
          <w:p w14:paraId="48CBF31E"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bottom w:val="single" w:sz="4" w:space="0" w:color="000000"/>
              <w:right w:val="single" w:sz="4" w:space="0" w:color="000000"/>
            </w:tcBorders>
            <w:shd w:val="clear" w:color="auto" w:fill="auto"/>
            <w:vAlign w:val="bottom"/>
          </w:tcPr>
          <w:p w14:paraId="533AA1FC"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bottom w:val="single" w:sz="4" w:space="0" w:color="000000"/>
              <w:right w:val="single" w:sz="4" w:space="0" w:color="000000"/>
            </w:tcBorders>
            <w:shd w:val="clear" w:color="auto" w:fill="auto"/>
            <w:vAlign w:val="bottom"/>
          </w:tcPr>
          <w:p w14:paraId="0B652375"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2 160 000 000,00</w:t>
            </w:r>
          </w:p>
        </w:tc>
      </w:tr>
      <w:tr w:rsidR="00BD5A13" w14:paraId="143D41F8" w14:textId="77777777" w:rsidTr="00DB19B8">
        <w:trPr>
          <w:trHeight w:val="300"/>
        </w:trPr>
        <w:tc>
          <w:tcPr>
            <w:tcW w:w="1664" w:type="dxa"/>
            <w:vMerge w:val="restart"/>
            <w:tcBorders>
              <w:left w:val="single" w:sz="4" w:space="0" w:color="000000"/>
              <w:bottom w:val="single" w:sz="4" w:space="0" w:color="000000"/>
              <w:right w:val="single" w:sz="4" w:space="0" w:color="000000"/>
            </w:tcBorders>
            <w:shd w:val="clear" w:color="auto" w:fill="auto"/>
            <w:vAlign w:val="center"/>
          </w:tcPr>
          <w:p w14:paraId="2AD66860"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HAUTE MATSIATRA</w:t>
            </w:r>
          </w:p>
        </w:tc>
        <w:tc>
          <w:tcPr>
            <w:tcW w:w="1738" w:type="dxa"/>
            <w:tcBorders>
              <w:bottom w:val="single" w:sz="4" w:space="0" w:color="000000"/>
              <w:right w:val="single" w:sz="4" w:space="0" w:color="000000"/>
            </w:tcBorders>
            <w:shd w:val="clear" w:color="auto" w:fill="auto"/>
            <w:vAlign w:val="center"/>
          </w:tcPr>
          <w:p w14:paraId="7E6F001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ISANDRA</w:t>
            </w:r>
          </w:p>
        </w:tc>
        <w:tc>
          <w:tcPr>
            <w:tcW w:w="1276" w:type="dxa"/>
            <w:tcBorders>
              <w:bottom w:val="single" w:sz="4" w:space="0" w:color="000000"/>
              <w:right w:val="single" w:sz="4" w:space="0" w:color="000000"/>
            </w:tcBorders>
            <w:shd w:val="clear" w:color="auto" w:fill="auto"/>
            <w:vAlign w:val="bottom"/>
          </w:tcPr>
          <w:p w14:paraId="03627A2D"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7 170</w:t>
            </w:r>
          </w:p>
        </w:tc>
        <w:tc>
          <w:tcPr>
            <w:tcW w:w="1559" w:type="dxa"/>
            <w:tcBorders>
              <w:bottom w:val="single" w:sz="4" w:space="0" w:color="000000"/>
              <w:right w:val="single" w:sz="4" w:space="0" w:color="000000"/>
            </w:tcBorders>
            <w:shd w:val="clear" w:color="auto" w:fill="auto"/>
            <w:vAlign w:val="bottom"/>
          </w:tcPr>
          <w:p w14:paraId="73F5B655"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bottom w:val="single" w:sz="4" w:space="0" w:color="000000"/>
              <w:right w:val="single" w:sz="4" w:space="0" w:color="000000"/>
            </w:tcBorders>
            <w:shd w:val="clear" w:color="auto" w:fill="auto"/>
            <w:vAlign w:val="bottom"/>
          </w:tcPr>
          <w:p w14:paraId="3460DE9B"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bottom w:val="single" w:sz="4" w:space="0" w:color="000000"/>
              <w:right w:val="single" w:sz="4" w:space="0" w:color="000000"/>
            </w:tcBorders>
            <w:shd w:val="clear" w:color="auto" w:fill="auto"/>
            <w:vAlign w:val="bottom"/>
          </w:tcPr>
          <w:p w14:paraId="0348A060"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5 162 400 000,00</w:t>
            </w:r>
          </w:p>
        </w:tc>
      </w:tr>
      <w:tr w:rsidR="00BD5A13" w14:paraId="4979B84B" w14:textId="77777777" w:rsidTr="00DB19B8">
        <w:trPr>
          <w:trHeight w:val="300"/>
        </w:trPr>
        <w:tc>
          <w:tcPr>
            <w:tcW w:w="1664" w:type="dxa"/>
            <w:vMerge/>
            <w:tcBorders>
              <w:left w:val="single" w:sz="4" w:space="0" w:color="000000"/>
              <w:bottom w:val="single" w:sz="4" w:space="0" w:color="000000"/>
              <w:right w:val="single" w:sz="4" w:space="0" w:color="000000"/>
            </w:tcBorders>
            <w:shd w:val="clear" w:color="auto" w:fill="auto"/>
            <w:vAlign w:val="center"/>
          </w:tcPr>
          <w:p w14:paraId="0D187854" w14:textId="77777777" w:rsidR="00C13497" w:rsidRDefault="00C13497">
            <w:pPr>
              <w:jc w:val="left"/>
              <w:rPr>
                <w:rFonts w:ascii="Calibri" w:hAnsi="Calibri" w:cs="Calibri"/>
                <w:color w:val="000000"/>
                <w:sz w:val="20"/>
                <w:szCs w:val="20"/>
              </w:rPr>
            </w:pPr>
          </w:p>
        </w:tc>
        <w:tc>
          <w:tcPr>
            <w:tcW w:w="1738" w:type="dxa"/>
            <w:tcBorders>
              <w:bottom w:val="single" w:sz="4" w:space="0" w:color="000000"/>
              <w:right w:val="single" w:sz="4" w:space="0" w:color="000000"/>
            </w:tcBorders>
            <w:shd w:val="clear" w:color="auto" w:fill="auto"/>
            <w:vAlign w:val="center"/>
          </w:tcPr>
          <w:p w14:paraId="7ECCDF97" w14:textId="34CA4026" w:rsidR="00C13497" w:rsidRDefault="00BD5A13">
            <w:pPr>
              <w:jc w:val="left"/>
              <w:rPr>
                <w:rFonts w:ascii="Calibri" w:hAnsi="Calibri" w:cs="Calibri"/>
                <w:color w:val="000000"/>
                <w:sz w:val="20"/>
                <w:szCs w:val="20"/>
              </w:rPr>
            </w:pPr>
            <w:r>
              <w:rPr>
                <w:rFonts w:ascii="Calibri" w:hAnsi="Calibri" w:cs="Calibri"/>
                <w:color w:val="000000"/>
                <w:sz w:val="20"/>
                <w:szCs w:val="20"/>
              </w:rPr>
              <w:t>AMORON’I MANIA</w:t>
            </w:r>
          </w:p>
        </w:tc>
        <w:tc>
          <w:tcPr>
            <w:tcW w:w="1276" w:type="dxa"/>
            <w:tcBorders>
              <w:bottom w:val="single" w:sz="4" w:space="0" w:color="000000"/>
              <w:right w:val="single" w:sz="4" w:space="0" w:color="000000"/>
            </w:tcBorders>
            <w:shd w:val="clear" w:color="auto" w:fill="auto"/>
            <w:vAlign w:val="bottom"/>
          </w:tcPr>
          <w:p w14:paraId="14AAA316"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3 000</w:t>
            </w:r>
          </w:p>
        </w:tc>
        <w:tc>
          <w:tcPr>
            <w:tcW w:w="1559" w:type="dxa"/>
            <w:tcBorders>
              <w:bottom w:val="single" w:sz="4" w:space="0" w:color="000000"/>
              <w:right w:val="single" w:sz="4" w:space="0" w:color="000000"/>
            </w:tcBorders>
            <w:shd w:val="clear" w:color="auto" w:fill="auto"/>
            <w:vAlign w:val="bottom"/>
          </w:tcPr>
          <w:p w14:paraId="713F46F3"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bottom w:val="single" w:sz="4" w:space="0" w:color="000000"/>
              <w:right w:val="single" w:sz="4" w:space="0" w:color="000000"/>
            </w:tcBorders>
            <w:shd w:val="clear" w:color="auto" w:fill="auto"/>
            <w:vAlign w:val="bottom"/>
          </w:tcPr>
          <w:p w14:paraId="2391CED1"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bottom w:val="single" w:sz="4" w:space="0" w:color="000000"/>
              <w:right w:val="single" w:sz="4" w:space="0" w:color="000000"/>
            </w:tcBorders>
            <w:shd w:val="clear" w:color="auto" w:fill="auto"/>
            <w:vAlign w:val="bottom"/>
          </w:tcPr>
          <w:p w14:paraId="2BB7E931"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2 160 000 000,00</w:t>
            </w:r>
          </w:p>
        </w:tc>
      </w:tr>
      <w:tr w:rsidR="00BD5A13" w14:paraId="505ED300" w14:textId="77777777" w:rsidTr="00DB19B8">
        <w:trPr>
          <w:trHeight w:val="300"/>
        </w:trPr>
        <w:tc>
          <w:tcPr>
            <w:tcW w:w="1664" w:type="dxa"/>
            <w:tcBorders>
              <w:left w:val="single" w:sz="4" w:space="0" w:color="000000"/>
              <w:bottom w:val="single" w:sz="4" w:space="0" w:color="000000"/>
              <w:right w:val="single" w:sz="4" w:space="0" w:color="000000"/>
            </w:tcBorders>
            <w:shd w:val="clear" w:color="auto" w:fill="auto"/>
            <w:vAlign w:val="center"/>
          </w:tcPr>
          <w:p w14:paraId="5D9FF7A0"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ANTSINANANA</w:t>
            </w:r>
          </w:p>
        </w:tc>
        <w:tc>
          <w:tcPr>
            <w:tcW w:w="1738" w:type="dxa"/>
            <w:tcBorders>
              <w:bottom w:val="single" w:sz="4" w:space="0" w:color="000000"/>
              <w:right w:val="single" w:sz="4" w:space="0" w:color="000000"/>
            </w:tcBorders>
            <w:shd w:val="clear" w:color="auto" w:fill="auto"/>
            <w:vAlign w:val="center"/>
          </w:tcPr>
          <w:p w14:paraId="5CEBA1E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VATOMANDRY</w:t>
            </w:r>
          </w:p>
        </w:tc>
        <w:tc>
          <w:tcPr>
            <w:tcW w:w="1276" w:type="dxa"/>
            <w:tcBorders>
              <w:bottom w:val="single" w:sz="4" w:space="0" w:color="000000"/>
              <w:right w:val="single" w:sz="4" w:space="0" w:color="000000"/>
            </w:tcBorders>
            <w:shd w:val="clear" w:color="auto" w:fill="auto"/>
            <w:vAlign w:val="bottom"/>
          </w:tcPr>
          <w:p w14:paraId="56AFAAAF"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5 965</w:t>
            </w:r>
          </w:p>
        </w:tc>
        <w:tc>
          <w:tcPr>
            <w:tcW w:w="1559" w:type="dxa"/>
            <w:tcBorders>
              <w:bottom w:val="single" w:sz="4" w:space="0" w:color="000000"/>
              <w:right w:val="single" w:sz="4" w:space="0" w:color="000000"/>
            </w:tcBorders>
            <w:shd w:val="clear" w:color="auto" w:fill="auto"/>
            <w:vAlign w:val="bottom"/>
          </w:tcPr>
          <w:p w14:paraId="2C33CE26"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bottom w:val="single" w:sz="4" w:space="0" w:color="000000"/>
              <w:right w:val="single" w:sz="4" w:space="0" w:color="000000"/>
            </w:tcBorders>
            <w:shd w:val="clear" w:color="auto" w:fill="auto"/>
            <w:vAlign w:val="bottom"/>
          </w:tcPr>
          <w:p w14:paraId="5A7841B9"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bottom w:val="single" w:sz="4" w:space="0" w:color="000000"/>
              <w:right w:val="single" w:sz="4" w:space="0" w:color="000000"/>
            </w:tcBorders>
            <w:shd w:val="clear" w:color="auto" w:fill="auto"/>
            <w:vAlign w:val="bottom"/>
          </w:tcPr>
          <w:p w14:paraId="527E3FB5"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4 294 800 000,00</w:t>
            </w:r>
          </w:p>
        </w:tc>
      </w:tr>
      <w:tr w:rsidR="00BD5A13" w14:paraId="53F4B7B7" w14:textId="77777777" w:rsidTr="00DB19B8">
        <w:trPr>
          <w:trHeight w:val="300"/>
        </w:trPr>
        <w:tc>
          <w:tcPr>
            <w:tcW w:w="1664" w:type="dxa"/>
            <w:tcBorders>
              <w:left w:val="single" w:sz="4" w:space="0" w:color="000000"/>
              <w:bottom w:val="single" w:sz="4" w:space="0" w:color="000000"/>
              <w:right w:val="single" w:sz="4" w:space="0" w:color="000000"/>
            </w:tcBorders>
            <w:shd w:val="clear" w:color="auto" w:fill="auto"/>
            <w:vAlign w:val="center"/>
          </w:tcPr>
          <w:p w14:paraId="60D19571"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ATSIMO ANDREFANA</w:t>
            </w:r>
          </w:p>
        </w:tc>
        <w:tc>
          <w:tcPr>
            <w:tcW w:w="1738" w:type="dxa"/>
            <w:tcBorders>
              <w:bottom w:val="single" w:sz="4" w:space="0" w:color="000000"/>
              <w:right w:val="single" w:sz="4" w:space="0" w:color="000000"/>
            </w:tcBorders>
            <w:shd w:val="clear" w:color="auto" w:fill="auto"/>
            <w:vAlign w:val="bottom"/>
          </w:tcPr>
          <w:p w14:paraId="635F0636" w14:textId="77777777" w:rsidR="00C13497" w:rsidRDefault="003772CF">
            <w:pPr>
              <w:ind w:firstLine="200"/>
              <w:jc w:val="left"/>
              <w:rPr>
                <w:rFonts w:ascii="Calibri" w:hAnsi="Calibri" w:cs="Calibri"/>
                <w:color w:val="000000"/>
                <w:sz w:val="20"/>
                <w:szCs w:val="20"/>
              </w:rPr>
            </w:pPr>
            <w:r>
              <w:rPr>
                <w:rFonts w:ascii="Calibri" w:hAnsi="Calibri" w:cs="Calibri"/>
                <w:color w:val="000000"/>
                <w:sz w:val="20"/>
                <w:szCs w:val="20"/>
              </w:rPr>
              <w:t>ANKAZOABO</w:t>
            </w:r>
          </w:p>
        </w:tc>
        <w:tc>
          <w:tcPr>
            <w:tcW w:w="1276" w:type="dxa"/>
            <w:tcBorders>
              <w:bottom w:val="single" w:sz="4" w:space="0" w:color="000000"/>
              <w:right w:val="single" w:sz="4" w:space="0" w:color="000000"/>
            </w:tcBorders>
            <w:shd w:val="clear" w:color="auto" w:fill="auto"/>
            <w:vAlign w:val="bottom"/>
          </w:tcPr>
          <w:p w14:paraId="4F7E309D"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3 495</w:t>
            </w:r>
          </w:p>
        </w:tc>
        <w:tc>
          <w:tcPr>
            <w:tcW w:w="1559" w:type="dxa"/>
            <w:tcBorders>
              <w:bottom w:val="single" w:sz="4" w:space="0" w:color="000000"/>
              <w:right w:val="single" w:sz="4" w:space="0" w:color="000000"/>
            </w:tcBorders>
            <w:shd w:val="clear" w:color="auto" w:fill="auto"/>
            <w:vAlign w:val="bottom"/>
          </w:tcPr>
          <w:p w14:paraId="371BDF90"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bottom w:val="single" w:sz="4" w:space="0" w:color="000000"/>
              <w:right w:val="single" w:sz="4" w:space="0" w:color="000000"/>
            </w:tcBorders>
            <w:shd w:val="clear" w:color="auto" w:fill="auto"/>
            <w:vAlign w:val="bottom"/>
          </w:tcPr>
          <w:p w14:paraId="435C59B3"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bottom w:val="single" w:sz="4" w:space="0" w:color="000000"/>
              <w:right w:val="single" w:sz="4" w:space="0" w:color="000000"/>
            </w:tcBorders>
            <w:shd w:val="clear" w:color="auto" w:fill="auto"/>
            <w:vAlign w:val="bottom"/>
          </w:tcPr>
          <w:p w14:paraId="48E9FF52"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2 516 400 000,00</w:t>
            </w:r>
          </w:p>
        </w:tc>
      </w:tr>
      <w:tr w:rsidR="00BD5A13" w14:paraId="13E26AA8" w14:textId="77777777" w:rsidTr="00DB19B8">
        <w:trPr>
          <w:trHeight w:val="300"/>
        </w:trPr>
        <w:tc>
          <w:tcPr>
            <w:tcW w:w="1664" w:type="dxa"/>
            <w:tcBorders>
              <w:left w:val="single" w:sz="4" w:space="0" w:color="000000"/>
              <w:bottom w:val="single" w:sz="4" w:space="0" w:color="000000"/>
              <w:right w:val="single" w:sz="4" w:space="0" w:color="000000"/>
            </w:tcBorders>
            <w:shd w:val="clear" w:color="auto" w:fill="auto"/>
            <w:vAlign w:val="bottom"/>
          </w:tcPr>
          <w:p w14:paraId="6E38D9E5"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VATOVAVY FITOVINANY</w:t>
            </w:r>
          </w:p>
        </w:tc>
        <w:tc>
          <w:tcPr>
            <w:tcW w:w="1738" w:type="dxa"/>
            <w:tcBorders>
              <w:bottom w:val="single" w:sz="4" w:space="0" w:color="000000"/>
              <w:right w:val="single" w:sz="4" w:space="0" w:color="000000"/>
            </w:tcBorders>
            <w:shd w:val="clear" w:color="auto" w:fill="auto"/>
            <w:vAlign w:val="center"/>
          </w:tcPr>
          <w:p w14:paraId="160C0E0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MANAKARA</w:t>
            </w:r>
          </w:p>
        </w:tc>
        <w:tc>
          <w:tcPr>
            <w:tcW w:w="1276" w:type="dxa"/>
            <w:tcBorders>
              <w:bottom w:val="single" w:sz="4" w:space="0" w:color="000000"/>
              <w:right w:val="single" w:sz="4" w:space="0" w:color="000000"/>
            </w:tcBorders>
            <w:shd w:val="clear" w:color="auto" w:fill="auto"/>
            <w:vAlign w:val="bottom"/>
          </w:tcPr>
          <w:p w14:paraId="67838C8B"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8 146</w:t>
            </w:r>
          </w:p>
        </w:tc>
        <w:tc>
          <w:tcPr>
            <w:tcW w:w="1559" w:type="dxa"/>
            <w:tcBorders>
              <w:bottom w:val="single" w:sz="4" w:space="0" w:color="000000"/>
              <w:right w:val="single" w:sz="4" w:space="0" w:color="000000"/>
            </w:tcBorders>
            <w:shd w:val="clear" w:color="auto" w:fill="auto"/>
            <w:vAlign w:val="bottom"/>
          </w:tcPr>
          <w:p w14:paraId="3CB39473"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45 000 à 90 000 </w:t>
            </w:r>
          </w:p>
        </w:tc>
        <w:tc>
          <w:tcPr>
            <w:tcW w:w="1276" w:type="dxa"/>
            <w:tcBorders>
              <w:bottom w:val="single" w:sz="4" w:space="0" w:color="000000"/>
              <w:right w:val="single" w:sz="4" w:space="0" w:color="000000"/>
            </w:tcBorders>
            <w:shd w:val="clear" w:color="auto" w:fill="auto"/>
            <w:vAlign w:val="bottom"/>
          </w:tcPr>
          <w:p w14:paraId="5052E574"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180 000,00</w:t>
            </w:r>
          </w:p>
        </w:tc>
        <w:tc>
          <w:tcPr>
            <w:tcW w:w="1985" w:type="dxa"/>
            <w:tcBorders>
              <w:bottom w:val="single" w:sz="4" w:space="0" w:color="000000"/>
              <w:right w:val="single" w:sz="4" w:space="0" w:color="000000"/>
            </w:tcBorders>
            <w:shd w:val="clear" w:color="auto" w:fill="auto"/>
            <w:vAlign w:val="bottom"/>
          </w:tcPr>
          <w:p w14:paraId="17397FA4"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5 865 120 000,00</w:t>
            </w:r>
          </w:p>
        </w:tc>
      </w:tr>
      <w:tr w:rsidR="00BD5A13" w14:paraId="01A7C184" w14:textId="77777777" w:rsidTr="00DB19B8">
        <w:trPr>
          <w:trHeight w:val="300"/>
        </w:trPr>
        <w:tc>
          <w:tcPr>
            <w:tcW w:w="1664" w:type="dxa"/>
            <w:shd w:val="clear" w:color="auto" w:fill="auto"/>
            <w:vAlign w:val="bottom"/>
          </w:tcPr>
          <w:p w14:paraId="70226BB8" w14:textId="77777777" w:rsidR="00C13497" w:rsidRDefault="00C13497">
            <w:pPr>
              <w:jc w:val="left"/>
              <w:rPr>
                <w:rFonts w:ascii="Calibri" w:hAnsi="Calibri" w:cs="Calibri"/>
                <w:color w:val="000000"/>
                <w:sz w:val="20"/>
                <w:szCs w:val="20"/>
              </w:rPr>
            </w:pPr>
          </w:p>
        </w:tc>
        <w:tc>
          <w:tcPr>
            <w:tcW w:w="1738" w:type="dxa"/>
            <w:tcBorders>
              <w:left w:val="single" w:sz="4" w:space="0" w:color="000000"/>
              <w:bottom w:val="single" w:sz="4" w:space="0" w:color="000000"/>
              <w:right w:val="single" w:sz="4" w:space="0" w:color="000000"/>
            </w:tcBorders>
            <w:shd w:val="clear" w:color="auto" w:fill="auto"/>
            <w:vAlign w:val="bottom"/>
          </w:tcPr>
          <w:p w14:paraId="738B76FD"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TOTAL</w:t>
            </w:r>
          </w:p>
        </w:tc>
        <w:tc>
          <w:tcPr>
            <w:tcW w:w="1276" w:type="dxa"/>
            <w:tcBorders>
              <w:bottom w:val="single" w:sz="4" w:space="0" w:color="000000"/>
              <w:right w:val="single" w:sz="4" w:space="0" w:color="000000"/>
            </w:tcBorders>
            <w:shd w:val="clear" w:color="auto" w:fill="auto"/>
            <w:vAlign w:val="bottom"/>
          </w:tcPr>
          <w:p w14:paraId="4860BF92"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37 584</w:t>
            </w:r>
          </w:p>
        </w:tc>
        <w:tc>
          <w:tcPr>
            <w:tcW w:w="1559" w:type="dxa"/>
            <w:tcBorders>
              <w:bottom w:val="single" w:sz="4" w:space="0" w:color="000000"/>
              <w:right w:val="single" w:sz="4" w:space="0" w:color="000000"/>
            </w:tcBorders>
            <w:shd w:val="clear" w:color="auto" w:fill="auto"/>
            <w:vAlign w:val="center"/>
          </w:tcPr>
          <w:p w14:paraId="42A22106"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w:t>
            </w:r>
          </w:p>
        </w:tc>
        <w:tc>
          <w:tcPr>
            <w:tcW w:w="1276" w:type="dxa"/>
            <w:tcBorders>
              <w:bottom w:val="single" w:sz="4" w:space="0" w:color="000000"/>
              <w:right w:val="single" w:sz="4" w:space="0" w:color="000000"/>
            </w:tcBorders>
            <w:shd w:val="clear" w:color="auto" w:fill="auto"/>
            <w:vAlign w:val="center"/>
          </w:tcPr>
          <w:p w14:paraId="60D9CCFA"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w:t>
            </w:r>
          </w:p>
        </w:tc>
        <w:tc>
          <w:tcPr>
            <w:tcW w:w="1985" w:type="dxa"/>
            <w:tcBorders>
              <w:bottom w:val="single" w:sz="4" w:space="0" w:color="000000"/>
              <w:right w:val="single" w:sz="4" w:space="0" w:color="000000"/>
            </w:tcBorders>
            <w:shd w:val="clear" w:color="auto" w:fill="auto"/>
            <w:vAlign w:val="bottom"/>
          </w:tcPr>
          <w:p w14:paraId="1E997EF2"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27 060 480 000,00   </w:t>
            </w:r>
          </w:p>
        </w:tc>
      </w:tr>
    </w:tbl>
    <w:p w14:paraId="1BB78FE4" w14:textId="77777777" w:rsidR="00C13497" w:rsidRDefault="00C13497">
      <w:pPr>
        <w:ind w:right="567"/>
      </w:pPr>
    </w:p>
    <w:p w14:paraId="6C17D460" w14:textId="77777777" w:rsidR="00C13497" w:rsidRDefault="00C13497">
      <w:pPr>
        <w:ind w:right="567"/>
      </w:pPr>
    </w:p>
    <w:p w14:paraId="693B5534" w14:textId="4E0BC739" w:rsidR="00C13497" w:rsidRDefault="003772CF">
      <w:pPr>
        <w:ind w:right="567"/>
      </w:pPr>
      <w:r>
        <w:t xml:space="preserve">En ce qui concerne le programme TMDH, il </w:t>
      </w:r>
      <w:proofErr w:type="gramStart"/>
      <w:r>
        <w:t>est  exécuté</w:t>
      </w:r>
      <w:proofErr w:type="gramEnd"/>
      <w:r>
        <w:t xml:space="preserve"> dans </w:t>
      </w:r>
      <w:r w:rsidR="00BD5A13">
        <w:t xml:space="preserve">13 </w:t>
      </w:r>
      <w:r>
        <w:t xml:space="preserve">districts </w:t>
      </w:r>
      <w:proofErr w:type="spellStart"/>
      <w:r>
        <w:t>Faratsiho</w:t>
      </w:r>
      <w:proofErr w:type="spellEnd"/>
      <w:r>
        <w:t xml:space="preserve">, </w:t>
      </w:r>
      <w:proofErr w:type="spellStart"/>
      <w:r w:rsidR="00BD5A13">
        <w:t>Betafo</w:t>
      </w:r>
      <w:proofErr w:type="spellEnd"/>
      <w:r w:rsidR="00BD5A13">
        <w:t xml:space="preserve">, </w:t>
      </w:r>
      <w:proofErr w:type="spellStart"/>
      <w:r>
        <w:t>Ambohimahasoa</w:t>
      </w:r>
      <w:proofErr w:type="spellEnd"/>
      <w:r>
        <w:t xml:space="preserve">, </w:t>
      </w:r>
      <w:proofErr w:type="spellStart"/>
      <w:r>
        <w:t>Vohipeno</w:t>
      </w:r>
      <w:proofErr w:type="spellEnd"/>
      <w:r>
        <w:t xml:space="preserve">, </w:t>
      </w:r>
      <w:proofErr w:type="spellStart"/>
      <w:r>
        <w:t>Betioky</w:t>
      </w:r>
      <w:proofErr w:type="spellEnd"/>
      <w:r>
        <w:t xml:space="preserve">, </w:t>
      </w:r>
      <w:proofErr w:type="spellStart"/>
      <w:r>
        <w:t>Mahanoro</w:t>
      </w:r>
      <w:proofErr w:type="spellEnd"/>
      <w:r>
        <w:t xml:space="preserve">, Toamasina 2, </w:t>
      </w:r>
      <w:proofErr w:type="spellStart"/>
      <w:r>
        <w:t>Amboasary</w:t>
      </w:r>
      <w:proofErr w:type="spellEnd"/>
      <w:r>
        <w:t xml:space="preserve">, </w:t>
      </w:r>
      <w:proofErr w:type="spellStart"/>
      <w:r>
        <w:t>Ambovombe</w:t>
      </w:r>
      <w:proofErr w:type="spellEnd"/>
      <w:r>
        <w:t xml:space="preserve">, </w:t>
      </w:r>
      <w:proofErr w:type="spellStart"/>
      <w:r>
        <w:t>Bekily</w:t>
      </w:r>
      <w:proofErr w:type="spellEnd"/>
      <w:r>
        <w:t xml:space="preserve">, </w:t>
      </w:r>
      <w:proofErr w:type="spellStart"/>
      <w:r>
        <w:t>Tsihombe</w:t>
      </w:r>
      <w:proofErr w:type="spellEnd"/>
      <w:r>
        <w:t xml:space="preserve">, </w:t>
      </w:r>
      <w:proofErr w:type="spellStart"/>
      <w:r>
        <w:t>Beloha</w:t>
      </w:r>
      <w:proofErr w:type="spellEnd"/>
      <w:r>
        <w:t xml:space="preserve">,  Toliara 2. Ci-après les nombres de bénéficiaires prévisionnels ainsi que le montant total des transferts correspondant pour la durée du programme. </w:t>
      </w:r>
    </w:p>
    <w:p w14:paraId="2440AAE5" w14:textId="77777777" w:rsidR="00C13497" w:rsidRDefault="00C13497">
      <w:pPr>
        <w:ind w:right="567"/>
      </w:pPr>
    </w:p>
    <w:p w14:paraId="5FE8E875" w14:textId="77777777" w:rsidR="00C13497" w:rsidRDefault="003772CF">
      <w:pPr>
        <w:ind w:right="567"/>
        <w:rPr>
          <w:b/>
          <w:i/>
        </w:rPr>
      </w:pPr>
      <w:r>
        <w:rPr>
          <w:b/>
          <w:i/>
        </w:rPr>
        <w:t>Tableau2- Nombre de bénéficiaires et de transferts TMDH (y compris FIAVOTA)</w:t>
      </w:r>
    </w:p>
    <w:p w14:paraId="052AC579" w14:textId="77777777" w:rsidR="00C13497" w:rsidRDefault="00C13497">
      <w:pPr>
        <w:ind w:right="567"/>
        <w:rPr>
          <w:b/>
          <w:i/>
        </w:rPr>
      </w:pPr>
    </w:p>
    <w:tbl>
      <w:tblPr>
        <w:tblW w:w="9214" w:type="dxa"/>
        <w:tblInd w:w="-10" w:type="dxa"/>
        <w:tblBorders>
          <w:top w:val="single" w:sz="8" w:space="0" w:color="000000"/>
          <w:left w:val="single" w:sz="8" w:space="0" w:color="000000"/>
          <w:right w:val="single" w:sz="8" w:space="0" w:color="000000"/>
          <w:insideV w:val="single" w:sz="8" w:space="0" w:color="000000"/>
        </w:tblBorders>
        <w:tblCellMar>
          <w:left w:w="70" w:type="dxa"/>
          <w:right w:w="70" w:type="dxa"/>
        </w:tblCellMar>
        <w:tblLook w:val="04A0" w:firstRow="1" w:lastRow="0" w:firstColumn="1" w:lastColumn="0" w:noHBand="0" w:noVBand="1"/>
      </w:tblPr>
      <w:tblGrid>
        <w:gridCol w:w="2091"/>
        <w:gridCol w:w="2044"/>
        <w:gridCol w:w="1272"/>
        <w:gridCol w:w="1680"/>
        <w:gridCol w:w="2127"/>
      </w:tblGrid>
      <w:tr w:rsidR="00C13497" w14:paraId="0277C2A1" w14:textId="77777777">
        <w:trPr>
          <w:trHeight w:val="1455"/>
        </w:trPr>
        <w:tc>
          <w:tcPr>
            <w:tcW w:w="2091" w:type="dxa"/>
            <w:tcBorders>
              <w:top w:val="single" w:sz="8" w:space="0" w:color="000000"/>
              <w:left w:val="single" w:sz="8" w:space="0" w:color="000000"/>
              <w:right w:val="single" w:sz="8" w:space="0" w:color="000000"/>
            </w:tcBorders>
            <w:shd w:val="clear" w:color="auto" w:fill="auto"/>
            <w:vAlign w:val="center"/>
          </w:tcPr>
          <w:p w14:paraId="54E654D3" w14:textId="77777777" w:rsidR="00C13497" w:rsidRDefault="003772CF">
            <w:pPr>
              <w:jc w:val="center"/>
              <w:rPr>
                <w:rFonts w:ascii="Calibri" w:hAnsi="Calibri" w:cs="Calibri"/>
                <w:color w:val="000000"/>
                <w:sz w:val="20"/>
                <w:szCs w:val="20"/>
              </w:rPr>
            </w:pPr>
            <w:r>
              <w:rPr>
                <w:rFonts w:ascii="Calibri" w:hAnsi="Calibri"/>
                <w:color w:val="000000"/>
                <w:sz w:val="20"/>
                <w:szCs w:val="20"/>
              </w:rPr>
              <w:t>REGION</w:t>
            </w:r>
          </w:p>
        </w:tc>
        <w:tc>
          <w:tcPr>
            <w:tcW w:w="2044" w:type="dxa"/>
            <w:tcBorders>
              <w:top w:val="single" w:sz="8" w:space="0" w:color="000000"/>
              <w:right w:val="single" w:sz="8" w:space="0" w:color="000000"/>
            </w:tcBorders>
            <w:shd w:val="clear" w:color="auto" w:fill="auto"/>
            <w:vAlign w:val="center"/>
          </w:tcPr>
          <w:p w14:paraId="23510064" w14:textId="77777777" w:rsidR="00C13497" w:rsidRDefault="003772CF">
            <w:pPr>
              <w:jc w:val="center"/>
              <w:rPr>
                <w:rFonts w:ascii="Calibri" w:hAnsi="Calibri" w:cs="Calibri"/>
                <w:color w:val="000000"/>
                <w:sz w:val="20"/>
                <w:szCs w:val="20"/>
              </w:rPr>
            </w:pPr>
            <w:r>
              <w:rPr>
                <w:rFonts w:ascii="Calibri" w:hAnsi="Calibri"/>
                <w:color w:val="000000"/>
                <w:sz w:val="20"/>
                <w:szCs w:val="20"/>
              </w:rPr>
              <w:t>DISTRICT</w:t>
            </w:r>
          </w:p>
        </w:tc>
        <w:tc>
          <w:tcPr>
            <w:tcW w:w="1272" w:type="dxa"/>
            <w:tcBorders>
              <w:top w:val="single" w:sz="8" w:space="0" w:color="000000"/>
              <w:right w:val="single" w:sz="8" w:space="0" w:color="000000"/>
            </w:tcBorders>
            <w:shd w:val="clear" w:color="auto" w:fill="auto"/>
            <w:vAlign w:val="center"/>
          </w:tcPr>
          <w:p w14:paraId="7588B8B8" w14:textId="77777777" w:rsidR="00C13497" w:rsidRDefault="003772CF">
            <w:pPr>
              <w:jc w:val="center"/>
              <w:rPr>
                <w:rFonts w:ascii="Calibri" w:hAnsi="Calibri" w:cs="Calibri"/>
                <w:color w:val="000000"/>
                <w:sz w:val="20"/>
                <w:szCs w:val="20"/>
              </w:rPr>
            </w:pPr>
            <w:r>
              <w:rPr>
                <w:rFonts w:ascii="Calibri" w:hAnsi="Calibri"/>
                <w:color w:val="000000"/>
                <w:sz w:val="20"/>
                <w:szCs w:val="20"/>
              </w:rPr>
              <w:t>Nombre prévisionnel des bénéficiaires</w:t>
            </w:r>
          </w:p>
        </w:tc>
        <w:tc>
          <w:tcPr>
            <w:tcW w:w="1680" w:type="dxa"/>
            <w:tcBorders>
              <w:top w:val="single" w:sz="8" w:space="0" w:color="000000"/>
              <w:right w:val="single" w:sz="8" w:space="0" w:color="000000"/>
            </w:tcBorders>
            <w:shd w:val="clear" w:color="auto" w:fill="auto"/>
            <w:vAlign w:val="center"/>
          </w:tcPr>
          <w:p w14:paraId="1923541F" w14:textId="77777777" w:rsidR="00C13497" w:rsidRDefault="003772CF">
            <w:pPr>
              <w:jc w:val="center"/>
              <w:rPr>
                <w:rFonts w:ascii="Calibri" w:hAnsi="Calibri" w:cs="Calibri"/>
                <w:color w:val="000000"/>
                <w:sz w:val="20"/>
                <w:szCs w:val="20"/>
              </w:rPr>
            </w:pPr>
            <w:r>
              <w:rPr>
                <w:rFonts w:ascii="Calibri" w:hAnsi="Calibri"/>
                <w:color w:val="000000"/>
                <w:sz w:val="20"/>
                <w:szCs w:val="20"/>
              </w:rPr>
              <w:t xml:space="preserve"> </w:t>
            </w:r>
            <w:proofErr w:type="gramStart"/>
            <w:r>
              <w:rPr>
                <w:rFonts w:ascii="Calibri" w:hAnsi="Calibri"/>
                <w:color w:val="000000"/>
                <w:sz w:val="20"/>
                <w:szCs w:val="20"/>
              </w:rPr>
              <w:t>montant</w:t>
            </w:r>
            <w:proofErr w:type="gramEnd"/>
            <w:r>
              <w:rPr>
                <w:rFonts w:ascii="Calibri" w:hAnsi="Calibri"/>
                <w:color w:val="000000"/>
                <w:sz w:val="20"/>
                <w:szCs w:val="20"/>
              </w:rPr>
              <w:t xml:space="preserve"> de transfert par bénéficiaire</w:t>
            </w:r>
          </w:p>
        </w:tc>
        <w:tc>
          <w:tcPr>
            <w:tcW w:w="2127" w:type="dxa"/>
            <w:tcBorders>
              <w:top w:val="single" w:sz="8" w:space="0" w:color="000000"/>
              <w:right w:val="single" w:sz="8" w:space="0" w:color="000000"/>
            </w:tcBorders>
            <w:shd w:val="clear" w:color="auto" w:fill="auto"/>
            <w:vAlign w:val="center"/>
          </w:tcPr>
          <w:p w14:paraId="7B5EE4AD" w14:textId="77777777" w:rsidR="00C13497" w:rsidRDefault="003772CF">
            <w:pPr>
              <w:jc w:val="center"/>
              <w:rPr>
                <w:rFonts w:ascii="Calibri" w:hAnsi="Calibri" w:cs="Calibri"/>
                <w:color w:val="000000"/>
                <w:sz w:val="20"/>
                <w:szCs w:val="20"/>
              </w:rPr>
            </w:pPr>
            <w:proofErr w:type="gramStart"/>
            <w:r>
              <w:rPr>
                <w:rFonts w:ascii="Calibri" w:hAnsi="Calibri" w:cs="Calibri"/>
                <w:color w:val="000000"/>
                <w:sz w:val="20"/>
                <w:szCs w:val="20"/>
              </w:rPr>
              <w:t>montant</w:t>
            </w:r>
            <w:proofErr w:type="gramEnd"/>
            <w:r>
              <w:rPr>
                <w:rFonts w:ascii="Calibri" w:hAnsi="Calibri" w:cs="Calibri"/>
                <w:color w:val="000000"/>
                <w:sz w:val="20"/>
                <w:szCs w:val="20"/>
              </w:rPr>
              <w:t xml:space="preserve"> prévisionnel de transfert durant le programme (15 transfert)</w:t>
            </w:r>
          </w:p>
        </w:tc>
      </w:tr>
      <w:tr w:rsidR="00C13497" w14:paraId="6B5B43E0" w14:textId="77777777">
        <w:trPr>
          <w:trHeight w:val="300"/>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723EAE"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VAKINANKARATRA</w:t>
            </w:r>
          </w:p>
        </w:tc>
        <w:tc>
          <w:tcPr>
            <w:tcW w:w="2044" w:type="dxa"/>
            <w:tcBorders>
              <w:top w:val="single" w:sz="4" w:space="0" w:color="000000"/>
              <w:bottom w:val="single" w:sz="4" w:space="0" w:color="000000"/>
              <w:right w:val="single" w:sz="4" w:space="0" w:color="000000"/>
            </w:tcBorders>
            <w:shd w:val="clear" w:color="auto" w:fill="auto"/>
            <w:vAlign w:val="center"/>
          </w:tcPr>
          <w:p w14:paraId="04DB68C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BETAFO</w:t>
            </w:r>
          </w:p>
        </w:tc>
        <w:tc>
          <w:tcPr>
            <w:tcW w:w="1272" w:type="dxa"/>
            <w:tcBorders>
              <w:top w:val="single" w:sz="4" w:space="0" w:color="000000"/>
              <w:bottom w:val="single" w:sz="4" w:space="0" w:color="000000"/>
              <w:right w:val="single" w:sz="4" w:space="0" w:color="000000"/>
            </w:tcBorders>
            <w:shd w:val="clear" w:color="auto" w:fill="auto"/>
            <w:vAlign w:val="bottom"/>
          </w:tcPr>
          <w:p w14:paraId="704FD41D"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5 395</w:t>
            </w:r>
          </w:p>
        </w:tc>
        <w:tc>
          <w:tcPr>
            <w:tcW w:w="1680" w:type="dxa"/>
            <w:tcBorders>
              <w:top w:val="single" w:sz="4" w:space="0" w:color="000000"/>
              <w:bottom w:val="single" w:sz="4" w:space="0" w:color="000000"/>
              <w:right w:val="single" w:sz="4" w:space="0" w:color="000000"/>
            </w:tcBorders>
            <w:shd w:val="clear" w:color="auto" w:fill="auto"/>
            <w:vAlign w:val="bottom"/>
          </w:tcPr>
          <w:p w14:paraId="4189485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top w:val="single" w:sz="4" w:space="0" w:color="000000"/>
              <w:bottom w:val="single" w:sz="4" w:space="0" w:color="000000"/>
              <w:right w:val="single" w:sz="4" w:space="0" w:color="000000"/>
            </w:tcBorders>
            <w:shd w:val="clear" w:color="auto" w:fill="auto"/>
            <w:vAlign w:val="bottom"/>
          </w:tcPr>
          <w:p w14:paraId="4AA9B395"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4 046 250 000,00   </w:t>
            </w:r>
          </w:p>
        </w:tc>
      </w:tr>
      <w:tr w:rsidR="00C13497" w14:paraId="1B5EEA93" w14:textId="77777777">
        <w:trPr>
          <w:trHeight w:val="300"/>
        </w:trPr>
        <w:tc>
          <w:tcPr>
            <w:tcW w:w="2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47E608" w14:textId="77777777" w:rsidR="00C13497" w:rsidRDefault="00C13497">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center"/>
          </w:tcPr>
          <w:p w14:paraId="0C508BEA"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FARATSIHO</w:t>
            </w:r>
          </w:p>
        </w:tc>
        <w:tc>
          <w:tcPr>
            <w:tcW w:w="1272" w:type="dxa"/>
            <w:tcBorders>
              <w:bottom w:val="single" w:sz="4" w:space="0" w:color="000000"/>
              <w:right w:val="single" w:sz="4" w:space="0" w:color="000000"/>
            </w:tcBorders>
            <w:shd w:val="clear" w:color="auto" w:fill="auto"/>
            <w:vAlign w:val="bottom"/>
          </w:tcPr>
          <w:p w14:paraId="09143CAB"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6 392</w:t>
            </w:r>
          </w:p>
        </w:tc>
        <w:tc>
          <w:tcPr>
            <w:tcW w:w="1680" w:type="dxa"/>
            <w:tcBorders>
              <w:bottom w:val="single" w:sz="4" w:space="0" w:color="000000"/>
              <w:right w:val="single" w:sz="4" w:space="0" w:color="000000"/>
            </w:tcBorders>
            <w:shd w:val="clear" w:color="auto" w:fill="auto"/>
            <w:vAlign w:val="bottom"/>
          </w:tcPr>
          <w:p w14:paraId="6868297C"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7F0C712E"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4 794 000 000,00   </w:t>
            </w:r>
          </w:p>
        </w:tc>
      </w:tr>
      <w:tr w:rsidR="00C13497" w14:paraId="4DAD7BDE" w14:textId="77777777">
        <w:trPr>
          <w:trHeight w:val="300"/>
        </w:trPr>
        <w:tc>
          <w:tcPr>
            <w:tcW w:w="2091" w:type="dxa"/>
            <w:tcBorders>
              <w:left w:val="single" w:sz="4" w:space="0" w:color="000000"/>
              <w:bottom w:val="single" w:sz="4" w:space="0" w:color="000000"/>
              <w:right w:val="single" w:sz="4" w:space="0" w:color="000000"/>
            </w:tcBorders>
            <w:shd w:val="clear" w:color="auto" w:fill="auto"/>
            <w:vAlign w:val="center"/>
          </w:tcPr>
          <w:p w14:paraId="2359BC6E"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HAUTE MATSIATRA</w:t>
            </w:r>
          </w:p>
        </w:tc>
        <w:tc>
          <w:tcPr>
            <w:tcW w:w="2044" w:type="dxa"/>
            <w:tcBorders>
              <w:bottom w:val="single" w:sz="4" w:space="0" w:color="000000"/>
              <w:right w:val="single" w:sz="4" w:space="0" w:color="000000"/>
            </w:tcBorders>
            <w:shd w:val="clear" w:color="auto" w:fill="auto"/>
            <w:vAlign w:val="center"/>
          </w:tcPr>
          <w:p w14:paraId="449E9630"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AMBOHIMAHASOA</w:t>
            </w:r>
          </w:p>
        </w:tc>
        <w:tc>
          <w:tcPr>
            <w:tcW w:w="1272" w:type="dxa"/>
            <w:tcBorders>
              <w:bottom w:val="single" w:sz="4" w:space="0" w:color="000000"/>
              <w:right w:val="single" w:sz="4" w:space="0" w:color="000000"/>
            </w:tcBorders>
            <w:shd w:val="clear" w:color="auto" w:fill="auto"/>
            <w:vAlign w:val="bottom"/>
          </w:tcPr>
          <w:p w14:paraId="12F47B31"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6 753</w:t>
            </w:r>
          </w:p>
        </w:tc>
        <w:tc>
          <w:tcPr>
            <w:tcW w:w="1680" w:type="dxa"/>
            <w:tcBorders>
              <w:bottom w:val="single" w:sz="4" w:space="0" w:color="000000"/>
              <w:right w:val="single" w:sz="4" w:space="0" w:color="000000"/>
            </w:tcBorders>
            <w:shd w:val="clear" w:color="auto" w:fill="auto"/>
            <w:vAlign w:val="bottom"/>
          </w:tcPr>
          <w:p w14:paraId="4826D2C7"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1470FD2E"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5 064 750 000,00   </w:t>
            </w:r>
          </w:p>
        </w:tc>
      </w:tr>
      <w:tr w:rsidR="00C13497" w14:paraId="15FD0B2C" w14:textId="77777777">
        <w:trPr>
          <w:trHeight w:val="300"/>
        </w:trPr>
        <w:tc>
          <w:tcPr>
            <w:tcW w:w="2091" w:type="dxa"/>
            <w:vMerge w:val="restart"/>
            <w:tcBorders>
              <w:left w:val="single" w:sz="4" w:space="0" w:color="000000"/>
              <w:bottom w:val="single" w:sz="4" w:space="0" w:color="000000"/>
              <w:right w:val="single" w:sz="4" w:space="0" w:color="000000"/>
            </w:tcBorders>
            <w:shd w:val="clear" w:color="auto" w:fill="auto"/>
            <w:vAlign w:val="center"/>
          </w:tcPr>
          <w:p w14:paraId="3AB0A0CE"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ANTSINANANA</w:t>
            </w:r>
          </w:p>
        </w:tc>
        <w:tc>
          <w:tcPr>
            <w:tcW w:w="2044" w:type="dxa"/>
            <w:tcBorders>
              <w:bottom w:val="single" w:sz="4" w:space="0" w:color="000000"/>
              <w:right w:val="single" w:sz="4" w:space="0" w:color="000000"/>
            </w:tcBorders>
            <w:shd w:val="clear" w:color="auto" w:fill="auto"/>
            <w:vAlign w:val="center"/>
          </w:tcPr>
          <w:p w14:paraId="2515C80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MAHANORO</w:t>
            </w:r>
          </w:p>
        </w:tc>
        <w:tc>
          <w:tcPr>
            <w:tcW w:w="1272" w:type="dxa"/>
            <w:tcBorders>
              <w:bottom w:val="single" w:sz="4" w:space="0" w:color="000000"/>
              <w:right w:val="single" w:sz="4" w:space="0" w:color="000000"/>
            </w:tcBorders>
            <w:shd w:val="clear" w:color="auto" w:fill="auto"/>
            <w:vAlign w:val="bottom"/>
          </w:tcPr>
          <w:p w14:paraId="4FA8133B"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4 154</w:t>
            </w:r>
          </w:p>
        </w:tc>
        <w:tc>
          <w:tcPr>
            <w:tcW w:w="1680" w:type="dxa"/>
            <w:tcBorders>
              <w:bottom w:val="single" w:sz="4" w:space="0" w:color="000000"/>
              <w:right w:val="single" w:sz="4" w:space="0" w:color="000000"/>
            </w:tcBorders>
            <w:shd w:val="clear" w:color="auto" w:fill="auto"/>
            <w:vAlign w:val="bottom"/>
          </w:tcPr>
          <w:p w14:paraId="7DF691FA"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774B11F6"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3 115 500 000,00   </w:t>
            </w:r>
          </w:p>
        </w:tc>
      </w:tr>
      <w:tr w:rsidR="00C13497" w14:paraId="6105F4A5"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27A253C1" w14:textId="77777777" w:rsidR="00C13497" w:rsidRDefault="00C13497">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center"/>
          </w:tcPr>
          <w:p w14:paraId="1973D28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TOAMASINA II</w:t>
            </w:r>
          </w:p>
        </w:tc>
        <w:tc>
          <w:tcPr>
            <w:tcW w:w="1272" w:type="dxa"/>
            <w:tcBorders>
              <w:bottom w:val="single" w:sz="4" w:space="0" w:color="000000"/>
              <w:right w:val="single" w:sz="4" w:space="0" w:color="000000"/>
            </w:tcBorders>
            <w:shd w:val="clear" w:color="auto" w:fill="auto"/>
            <w:vAlign w:val="bottom"/>
          </w:tcPr>
          <w:p w14:paraId="0B5F6BF8"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3 501</w:t>
            </w:r>
          </w:p>
        </w:tc>
        <w:tc>
          <w:tcPr>
            <w:tcW w:w="1680" w:type="dxa"/>
            <w:tcBorders>
              <w:bottom w:val="single" w:sz="4" w:space="0" w:color="000000"/>
              <w:right w:val="single" w:sz="4" w:space="0" w:color="000000"/>
            </w:tcBorders>
            <w:shd w:val="clear" w:color="auto" w:fill="auto"/>
            <w:vAlign w:val="bottom"/>
          </w:tcPr>
          <w:p w14:paraId="66BDB90C"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1770E4C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2 625 750 000,00   </w:t>
            </w:r>
          </w:p>
        </w:tc>
      </w:tr>
      <w:tr w:rsidR="00C13497" w14:paraId="662D5BBF" w14:textId="77777777">
        <w:trPr>
          <w:trHeight w:val="300"/>
        </w:trPr>
        <w:tc>
          <w:tcPr>
            <w:tcW w:w="2091" w:type="dxa"/>
            <w:vMerge w:val="restart"/>
            <w:tcBorders>
              <w:left w:val="single" w:sz="4" w:space="0" w:color="000000"/>
              <w:bottom w:val="single" w:sz="4" w:space="0" w:color="000000"/>
              <w:right w:val="single" w:sz="4" w:space="0" w:color="000000"/>
            </w:tcBorders>
            <w:shd w:val="clear" w:color="auto" w:fill="auto"/>
            <w:vAlign w:val="center"/>
          </w:tcPr>
          <w:p w14:paraId="3C8740EC"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ATSIMO ANDREFANA</w:t>
            </w:r>
          </w:p>
        </w:tc>
        <w:tc>
          <w:tcPr>
            <w:tcW w:w="2044" w:type="dxa"/>
            <w:tcBorders>
              <w:bottom w:val="single" w:sz="4" w:space="0" w:color="000000"/>
              <w:right w:val="single" w:sz="4" w:space="0" w:color="000000"/>
            </w:tcBorders>
            <w:shd w:val="clear" w:color="auto" w:fill="auto"/>
            <w:vAlign w:val="bottom"/>
          </w:tcPr>
          <w:p w14:paraId="2BD2758D" w14:textId="77777777" w:rsidR="00C13497" w:rsidRDefault="003772CF">
            <w:pPr>
              <w:ind w:firstLine="200"/>
              <w:jc w:val="left"/>
              <w:rPr>
                <w:rFonts w:ascii="Calibri" w:hAnsi="Calibri" w:cs="Calibri"/>
                <w:color w:val="000000"/>
                <w:sz w:val="20"/>
                <w:szCs w:val="20"/>
              </w:rPr>
            </w:pPr>
            <w:r>
              <w:rPr>
                <w:rFonts w:ascii="Calibri" w:hAnsi="Calibri" w:cs="Calibri"/>
                <w:color w:val="000000"/>
                <w:sz w:val="20"/>
                <w:szCs w:val="20"/>
              </w:rPr>
              <w:t>BETIOKY SUD</w:t>
            </w:r>
          </w:p>
        </w:tc>
        <w:tc>
          <w:tcPr>
            <w:tcW w:w="1272" w:type="dxa"/>
            <w:tcBorders>
              <w:bottom w:val="single" w:sz="4" w:space="0" w:color="000000"/>
              <w:right w:val="single" w:sz="4" w:space="0" w:color="000000"/>
            </w:tcBorders>
            <w:shd w:val="clear" w:color="auto" w:fill="auto"/>
            <w:vAlign w:val="bottom"/>
          </w:tcPr>
          <w:p w14:paraId="43F47791"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4 258</w:t>
            </w:r>
          </w:p>
        </w:tc>
        <w:tc>
          <w:tcPr>
            <w:tcW w:w="1680" w:type="dxa"/>
            <w:tcBorders>
              <w:bottom w:val="single" w:sz="4" w:space="0" w:color="000000"/>
              <w:right w:val="single" w:sz="4" w:space="0" w:color="000000"/>
            </w:tcBorders>
            <w:shd w:val="clear" w:color="auto" w:fill="auto"/>
            <w:vAlign w:val="bottom"/>
          </w:tcPr>
          <w:p w14:paraId="149BCB3F"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37D0F3FF"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3 193 500 000,00   </w:t>
            </w:r>
          </w:p>
        </w:tc>
      </w:tr>
      <w:tr w:rsidR="00C13497" w14:paraId="15ED1C5F"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75258D9E" w14:textId="77777777" w:rsidR="00C13497" w:rsidRDefault="00C13497">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3CB6E16E" w14:textId="77777777" w:rsidR="00C13497" w:rsidRDefault="003772CF">
            <w:pPr>
              <w:ind w:firstLine="200"/>
              <w:jc w:val="left"/>
              <w:rPr>
                <w:rFonts w:ascii="Calibri" w:hAnsi="Calibri" w:cs="Calibri"/>
                <w:color w:val="000000"/>
                <w:sz w:val="20"/>
                <w:szCs w:val="20"/>
              </w:rPr>
            </w:pPr>
            <w:r>
              <w:rPr>
                <w:rFonts w:ascii="Calibri" w:hAnsi="Calibri" w:cs="Calibri"/>
                <w:color w:val="000000"/>
                <w:sz w:val="20"/>
                <w:szCs w:val="20"/>
              </w:rPr>
              <w:t>TOLIARA II</w:t>
            </w:r>
          </w:p>
        </w:tc>
        <w:tc>
          <w:tcPr>
            <w:tcW w:w="1272" w:type="dxa"/>
            <w:tcBorders>
              <w:bottom w:val="single" w:sz="4" w:space="0" w:color="000000"/>
              <w:right w:val="single" w:sz="4" w:space="0" w:color="000000"/>
            </w:tcBorders>
            <w:shd w:val="clear" w:color="auto" w:fill="auto"/>
            <w:vAlign w:val="bottom"/>
          </w:tcPr>
          <w:p w14:paraId="4EF31CB1"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5 300</w:t>
            </w:r>
          </w:p>
        </w:tc>
        <w:tc>
          <w:tcPr>
            <w:tcW w:w="1680" w:type="dxa"/>
            <w:tcBorders>
              <w:bottom w:val="single" w:sz="4" w:space="0" w:color="000000"/>
              <w:right w:val="single" w:sz="4" w:space="0" w:color="000000"/>
            </w:tcBorders>
            <w:shd w:val="clear" w:color="auto" w:fill="auto"/>
            <w:vAlign w:val="bottom"/>
          </w:tcPr>
          <w:p w14:paraId="5FA08312"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2BD14266"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3 975 000 000,00   </w:t>
            </w:r>
          </w:p>
        </w:tc>
      </w:tr>
      <w:tr w:rsidR="00C13497" w14:paraId="18DCA988" w14:textId="77777777">
        <w:trPr>
          <w:trHeight w:val="300"/>
        </w:trPr>
        <w:tc>
          <w:tcPr>
            <w:tcW w:w="2091" w:type="dxa"/>
            <w:tcBorders>
              <w:left w:val="single" w:sz="4" w:space="0" w:color="000000"/>
              <w:bottom w:val="single" w:sz="4" w:space="0" w:color="000000"/>
              <w:right w:val="single" w:sz="4" w:space="0" w:color="000000"/>
            </w:tcBorders>
            <w:shd w:val="clear" w:color="auto" w:fill="auto"/>
            <w:vAlign w:val="bottom"/>
          </w:tcPr>
          <w:p w14:paraId="44662FC5"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lastRenderedPageBreak/>
              <w:t>VATOVAVY FITOVINANY</w:t>
            </w:r>
          </w:p>
        </w:tc>
        <w:tc>
          <w:tcPr>
            <w:tcW w:w="2044" w:type="dxa"/>
            <w:tcBorders>
              <w:bottom w:val="single" w:sz="4" w:space="0" w:color="000000"/>
              <w:right w:val="single" w:sz="4" w:space="0" w:color="000000"/>
            </w:tcBorders>
            <w:shd w:val="clear" w:color="auto" w:fill="auto"/>
            <w:vAlign w:val="center"/>
          </w:tcPr>
          <w:p w14:paraId="1F43687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VOHIPENO</w:t>
            </w:r>
          </w:p>
        </w:tc>
        <w:tc>
          <w:tcPr>
            <w:tcW w:w="1272" w:type="dxa"/>
            <w:tcBorders>
              <w:bottom w:val="single" w:sz="4" w:space="0" w:color="000000"/>
              <w:right w:val="single" w:sz="4" w:space="0" w:color="000000"/>
            </w:tcBorders>
            <w:shd w:val="clear" w:color="auto" w:fill="auto"/>
            <w:vAlign w:val="bottom"/>
          </w:tcPr>
          <w:p w14:paraId="780A82A6"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8 088</w:t>
            </w:r>
          </w:p>
        </w:tc>
        <w:tc>
          <w:tcPr>
            <w:tcW w:w="1680" w:type="dxa"/>
            <w:tcBorders>
              <w:bottom w:val="single" w:sz="4" w:space="0" w:color="000000"/>
              <w:right w:val="single" w:sz="4" w:space="0" w:color="000000"/>
            </w:tcBorders>
            <w:shd w:val="clear" w:color="auto" w:fill="auto"/>
            <w:vAlign w:val="bottom"/>
          </w:tcPr>
          <w:p w14:paraId="46432512"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18F20CA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6 066 000 000,00   </w:t>
            </w:r>
          </w:p>
        </w:tc>
      </w:tr>
      <w:tr w:rsidR="00C13497" w14:paraId="1CF8B1AE" w14:textId="77777777">
        <w:trPr>
          <w:trHeight w:val="300"/>
        </w:trPr>
        <w:tc>
          <w:tcPr>
            <w:tcW w:w="2091" w:type="dxa"/>
            <w:vMerge w:val="restart"/>
            <w:tcBorders>
              <w:left w:val="single" w:sz="4" w:space="0" w:color="000000"/>
              <w:bottom w:val="single" w:sz="4" w:space="0" w:color="000000"/>
              <w:right w:val="single" w:sz="4" w:space="0" w:color="000000"/>
            </w:tcBorders>
            <w:shd w:val="clear" w:color="auto" w:fill="auto"/>
            <w:vAlign w:val="center"/>
          </w:tcPr>
          <w:p w14:paraId="64607CBA"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ANDORY</w:t>
            </w:r>
          </w:p>
        </w:tc>
        <w:tc>
          <w:tcPr>
            <w:tcW w:w="2044" w:type="dxa"/>
            <w:tcBorders>
              <w:bottom w:val="single" w:sz="4" w:space="0" w:color="000000"/>
              <w:right w:val="single" w:sz="4" w:space="0" w:color="000000"/>
            </w:tcBorders>
            <w:shd w:val="clear" w:color="auto" w:fill="auto"/>
            <w:vAlign w:val="bottom"/>
          </w:tcPr>
          <w:p w14:paraId="649DDFD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AMBOVOMBE ANDROY</w:t>
            </w:r>
          </w:p>
        </w:tc>
        <w:tc>
          <w:tcPr>
            <w:tcW w:w="1272" w:type="dxa"/>
            <w:tcBorders>
              <w:bottom w:val="single" w:sz="4" w:space="0" w:color="000000"/>
              <w:right w:val="single" w:sz="4" w:space="0" w:color="000000"/>
            </w:tcBorders>
            <w:shd w:val="clear" w:color="auto" w:fill="auto"/>
            <w:vAlign w:val="bottom"/>
          </w:tcPr>
          <w:p w14:paraId="17A1D12B"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20 568</w:t>
            </w:r>
          </w:p>
        </w:tc>
        <w:tc>
          <w:tcPr>
            <w:tcW w:w="1680" w:type="dxa"/>
            <w:tcBorders>
              <w:bottom w:val="single" w:sz="4" w:space="0" w:color="000000"/>
              <w:right w:val="single" w:sz="4" w:space="0" w:color="000000"/>
            </w:tcBorders>
            <w:shd w:val="clear" w:color="auto" w:fill="auto"/>
            <w:vAlign w:val="bottom"/>
          </w:tcPr>
          <w:p w14:paraId="35E214B8"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3D41B63A"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15 426 000 000,00   </w:t>
            </w:r>
          </w:p>
        </w:tc>
      </w:tr>
      <w:tr w:rsidR="00C13497" w14:paraId="36E1A912"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0BC51530" w14:textId="77777777" w:rsidR="00C13497" w:rsidRDefault="00C13497">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22CA9606"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BEKILY</w:t>
            </w:r>
          </w:p>
        </w:tc>
        <w:tc>
          <w:tcPr>
            <w:tcW w:w="1272" w:type="dxa"/>
            <w:tcBorders>
              <w:bottom w:val="single" w:sz="4" w:space="0" w:color="000000"/>
              <w:right w:val="single" w:sz="4" w:space="0" w:color="000000"/>
            </w:tcBorders>
            <w:shd w:val="clear" w:color="auto" w:fill="auto"/>
            <w:vAlign w:val="bottom"/>
          </w:tcPr>
          <w:p w14:paraId="50EA37E0"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10 370</w:t>
            </w:r>
          </w:p>
        </w:tc>
        <w:tc>
          <w:tcPr>
            <w:tcW w:w="1680" w:type="dxa"/>
            <w:tcBorders>
              <w:bottom w:val="single" w:sz="4" w:space="0" w:color="000000"/>
              <w:right w:val="single" w:sz="4" w:space="0" w:color="000000"/>
            </w:tcBorders>
            <w:shd w:val="clear" w:color="auto" w:fill="auto"/>
            <w:vAlign w:val="bottom"/>
          </w:tcPr>
          <w:p w14:paraId="446E6218"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59B604C4"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7 777 500 000,00   </w:t>
            </w:r>
          </w:p>
        </w:tc>
      </w:tr>
      <w:tr w:rsidR="00C13497" w14:paraId="13E11623"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0A1FF787" w14:textId="77777777" w:rsidR="00C13497" w:rsidRDefault="00C13497">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07679D4F"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BELOHA</w:t>
            </w:r>
          </w:p>
        </w:tc>
        <w:tc>
          <w:tcPr>
            <w:tcW w:w="1272" w:type="dxa"/>
            <w:tcBorders>
              <w:bottom w:val="single" w:sz="4" w:space="0" w:color="000000"/>
              <w:right w:val="single" w:sz="4" w:space="0" w:color="000000"/>
            </w:tcBorders>
            <w:shd w:val="clear" w:color="auto" w:fill="auto"/>
            <w:vAlign w:val="bottom"/>
          </w:tcPr>
          <w:p w14:paraId="2D0A9A12"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11 224</w:t>
            </w:r>
          </w:p>
        </w:tc>
        <w:tc>
          <w:tcPr>
            <w:tcW w:w="1680" w:type="dxa"/>
            <w:tcBorders>
              <w:bottom w:val="single" w:sz="4" w:space="0" w:color="000000"/>
              <w:right w:val="single" w:sz="4" w:space="0" w:color="000000"/>
            </w:tcBorders>
            <w:shd w:val="clear" w:color="auto" w:fill="auto"/>
            <w:vAlign w:val="bottom"/>
          </w:tcPr>
          <w:p w14:paraId="0AC56B20"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52AB6225"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8 418 000 000,00   </w:t>
            </w:r>
          </w:p>
        </w:tc>
      </w:tr>
      <w:tr w:rsidR="00C13497" w14:paraId="10576564" w14:textId="77777777">
        <w:trPr>
          <w:trHeight w:val="300"/>
        </w:trPr>
        <w:tc>
          <w:tcPr>
            <w:tcW w:w="2091" w:type="dxa"/>
            <w:vMerge/>
            <w:tcBorders>
              <w:left w:val="single" w:sz="4" w:space="0" w:color="000000"/>
              <w:bottom w:val="single" w:sz="4" w:space="0" w:color="000000"/>
              <w:right w:val="single" w:sz="4" w:space="0" w:color="000000"/>
            </w:tcBorders>
            <w:shd w:val="clear" w:color="auto" w:fill="auto"/>
            <w:vAlign w:val="center"/>
          </w:tcPr>
          <w:p w14:paraId="3D1AF762" w14:textId="77777777" w:rsidR="00C13497" w:rsidRDefault="00C13497">
            <w:pPr>
              <w:jc w:val="left"/>
              <w:rPr>
                <w:rFonts w:ascii="Calibri" w:hAnsi="Calibri" w:cs="Calibri"/>
                <w:color w:val="000000"/>
                <w:sz w:val="20"/>
                <w:szCs w:val="20"/>
              </w:rPr>
            </w:pPr>
          </w:p>
        </w:tc>
        <w:tc>
          <w:tcPr>
            <w:tcW w:w="2044" w:type="dxa"/>
            <w:tcBorders>
              <w:bottom w:val="single" w:sz="4" w:space="0" w:color="000000"/>
              <w:right w:val="single" w:sz="4" w:space="0" w:color="000000"/>
            </w:tcBorders>
            <w:shd w:val="clear" w:color="auto" w:fill="auto"/>
            <w:vAlign w:val="bottom"/>
          </w:tcPr>
          <w:p w14:paraId="4E914D0F"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TSIHOMBE</w:t>
            </w:r>
          </w:p>
        </w:tc>
        <w:tc>
          <w:tcPr>
            <w:tcW w:w="1272" w:type="dxa"/>
            <w:tcBorders>
              <w:bottom w:val="single" w:sz="4" w:space="0" w:color="000000"/>
              <w:right w:val="single" w:sz="4" w:space="0" w:color="000000"/>
            </w:tcBorders>
            <w:shd w:val="clear" w:color="auto" w:fill="auto"/>
            <w:vAlign w:val="bottom"/>
          </w:tcPr>
          <w:p w14:paraId="374605DA"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16 402</w:t>
            </w:r>
          </w:p>
        </w:tc>
        <w:tc>
          <w:tcPr>
            <w:tcW w:w="1680" w:type="dxa"/>
            <w:tcBorders>
              <w:bottom w:val="single" w:sz="4" w:space="0" w:color="000000"/>
              <w:right w:val="single" w:sz="4" w:space="0" w:color="000000"/>
            </w:tcBorders>
            <w:shd w:val="clear" w:color="auto" w:fill="auto"/>
            <w:vAlign w:val="bottom"/>
          </w:tcPr>
          <w:p w14:paraId="145B4807"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0CE6E12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12 301 500 000,00   </w:t>
            </w:r>
          </w:p>
        </w:tc>
      </w:tr>
      <w:tr w:rsidR="00C13497" w14:paraId="00589BE5" w14:textId="77777777">
        <w:trPr>
          <w:trHeight w:val="300"/>
        </w:trPr>
        <w:tc>
          <w:tcPr>
            <w:tcW w:w="2091" w:type="dxa"/>
            <w:tcBorders>
              <w:left w:val="single" w:sz="4" w:space="0" w:color="000000"/>
              <w:bottom w:val="single" w:sz="4" w:space="0" w:color="000000"/>
              <w:right w:val="single" w:sz="4" w:space="0" w:color="000000"/>
            </w:tcBorders>
            <w:shd w:val="clear" w:color="auto" w:fill="auto"/>
            <w:vAlign w:val="bottom"/>
          </w:tcPr>
          <w:p w14:paraId="03D95BDD"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ANOSY</w:t>
            </w:r>
          </w:p>
        </w:tc>
        <w:tc>
          <w:tcPr>
            <w:tcW w:w="2044" w:type="dxa"/>
            <w:tcBorders>
              <w:bottom w:val="single" w:sz="4" w:space="0" w:color="000000"/>
              <w:right w:val="single" w:sz="4" w:space="0" w:color="000000"/>
            </w:tcBorders>
            <w:shd w:val="clear" w:color="auto" w:fill="auto"/>
            <w:vAlign w:val="bottom"/>
          </w:tcPr>
          <w:p w14:paraId="44A5D90B"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AMBOASARY ATSIMO</w:t>
            </w:r>
          </w:p>
        </w:tc>
        <w:tc>
          <w:tcPr>
            <w:tcW w:w="1272" w:type="dxa"/>
            <w:tcBorders>
              <w:bottom w:val="single" w:sz="4" w:space="0" w:color="000000"/>
              <w:right w:val="single" w:sz="4" w:space="0" w:color="000000"/>
            </w:tcBorders>
            <w:shd w:val="clear" w:color="auto" w:fill="auto"/>
            <w:vAlign w:val="bottom"/>
          </w:tcPr>
          <w:p w14:paraId="298457D5"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12 067</w:t>
            </w:r>
          </w:p>
        </w:tc>
        <w:tc>
          <w:tcPr>
            <w:tcW w:w="1680" w:type="dxa"/>
            <w:tcBorders>
              <w:bottom w:val="single" w:sz="4" w:space="0" w:color="000000"/>
              <w:right w:val="single" w:sz="4" w:space="0" w:color="000000"/>
            </w:tcBorders>
            <w:shd w:val="clear" w:color="auto" w:fill="auto"/>
            <w:vAlign w:val="bottom"/>
          </w:tcPr>
          <w:p w14:paraId="552A623D"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40 000 à 60 000</w:t>
            </w:r>
          </w:p>
        </w:tc>
        <w:tc>
          <w:tcPr>
            <w:tcW w:w="2127" w:type="dxa"/>
            <w:tcBorders>
              <w:bottom w:val="single" w:sz="4" w:space="0" w:color="000000"/>
              <w:right w:val="single" w:sz="4" w:space="0" w:color="000000"/>
            </w:tcBorders>
            <w:shd w:val="clear" w:color="auto" w:fill="auto"/>
            <w:vAlign w:val="bottom"/>
          </w:tcPr>
          <w:p w14:paraId="5607B286"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9 050 250 000,00   </w:t>
            </w:r>
          </w:p>
        </w:tc>
      </w:tr>
      <w:tr w:rsidR="00C13497" w14:paraId="0560EB1F" w14:textId="77777777">
        <w:trPr>
          <w:trHeight w:val="300"/>
        </w:trPr>
        <w:tc>
          <w:tcPr>
            <w:tcW w:w="2091" w:type="dxa"/>
            <w:shd w:val="clear" w:color="auto" w:fill="auto"/>
            <w:vAlign w:val="bottom"/>
          </w:tcPr>
          <w:p w14:paraId="6261522B" w14:textId="77777777" w:rsidR="00C13497" w:rsidRDefault="00C13497">
            <w:pPr>
              <w:jc w:val="left"/>
              <w:rPr>
                <w:rFonts w:ascii="Calibri" w:hAnsi="Calibri" w:cs="Calibri"/>
                <w:color w:val="000000"/>
                <w:sz w:val="20"/>
                <w:szCs w:val="20"/>
              </w:rPr>
            </w:pPr>
          </w:p>
        </w:tc>
        <w:tc>
          <w:tcPr>
            <w:tcW w:w="2044" w:type="dxa"/>
            <w:tcBorders>
              <w:left w:val="single" w:sz="4" w:space="0" w:color="000000"/>
              <w:bottom w:val="single" w:sz="4" w:space="0" w:color="000000"/>
              <w:right w:val="single" w:sz="4" w:space="0" w:color="000000"/>
            </w:tcBorders>
            <w:shd w:val="clear" w:color="auto" w:fill="auto"/>
            <w:vAlign w:val="bottom"/>
          </w:tcPr>
          <w:p w14:paraId="4A9A1B61" w14:textId="77777777" w:rsidR="00C13497" w:rsidRDefault="003772CF">
            <w:pPr>
              <w:jc w:val="left"/>
              <w:rPr>
                <w:rFonts w:ascii="Calibri" w:hAnsi="Calibri" w:cs="Calibri"/>
                <w:color w:val="000000"/>
                <w:sz w:val="20"/>
                <w:szCs w:val="20"/>
              </w:rPr>
            </w:pPr>
            <w:r>
              <w:rPr>
                <w:rFonts w:ascii="Calibri" w:hAnsi="Calibri" w:cs="Calibri"/>
                <w:color w:val="000000"/>
                <w:sz w:val="20"/>
                <w:szCs w:val="20"/>
              </w:rPr>
              <w:t>TOTAL</w:t>
            </w:r>
          </w:p>
        </w:tc>
        <w:tc>
          <w:tcPr>
            <w:tcW w:w="1272" w:type="dxa"/>
            <w:tcBorders>
              <w:bottom w:val="single" w:sz="4" w:space="0" w:color="000000"/>
              <w:right w:val="single" w:sz="4" w:space="0" w:color="000000"/>
            </w:tcBorders>
            <w:shd w:val="clear" w:color="auto" w:fill="auto"/>
            <w:vAlign w:val="bottom"/>
          </w:tcPr>
          <w:p w14:paraId="151945B6" w14:textId="34E6B23F" w:rsidR="00C13497" w:rsidRDefault="000442AE">
            <w:pPr>
              <w:jc w:val="center"/>
              <w:rPr>
                <w:rFonts w:ascii="Calibri" w:hAnsi="Calibri" w:cs="Calibri"/>
                <w:color w:val="000000"/>
                <w:sz w:val="20"/>
                <w:szCs w:val="20"/>
              </w:rPr>
            </w:pPr>
            <w:r>
              <w:rPr>
                <w:rFonts w:ascii="Calibri" w:hAnsi="Calibri" w:cs="Calibri"/>
                <w:color w:val="000000"/>
                <w:sz w:val="20"/>
                <w:szCs w:val="20"/>
              </w:rPr>
              <w:t>114 472</w:t>
            </w:r>
          </w:p>
        </w:tc>
        <w:tc>
          <w:tcPr>
            <w:tcW w:w="1680" w:type="dxa"/>
            <w:tcBorders>
              <w:bottom w:val="single" w:sz="4" w:space="0" w:color="000000"/>
              <w:right w:val="single" w:sz="4" w:space="0" w:color="000000"/>
            </w:tcBorders>
            <w:shd w:val="clear" w:color="auto" w:fill="auto"/>
            <w:vAlign w:val="center"/>
          </w:tcPr>
          <w:p w14:paraId="0594190F" w14:textId="77777777" w:rsidR="00C13497" w:rsidRDefault="003772CF">
            <w:pPr>
              <w:jc w:val="center"/>
              <w:rPr>
                <w:rFonts w:ascii="Calibri" w:hAnsi="Calibri" w:cs="Calibri"/>
                <w:color w:val="000000"/>
                <w:sz w:val="20"/>
                <w:szCs w:val="20"/>
              </w:rPr>
            </w:pPr>
            <w:r>
              <w:rPr>
                <w:rFonts w:ascii="Calibri" w:hAnsi="Calibri" w:cs="Calibri"/>
                <w:color w:val="000000"/>
                <w:sz w:val="20"/>
                <w:szCs w:val="20"/>
              </w:rPr>
              <w:t>-</w:t>
            </w:r>
          </w:p>
        </w:tc>
        <w:tc>
          <w:tcPr>
            <w:tcW w:w="2127" w:type="dxa"/>
            <w:tcBorders>
              <w:bottom w:val="single" w:sz="4" w:space="0" w:color="000000"/>
              <w:right w:val="single" w:sz="4" w:space="0" w:color="000000"/>
            </w:tcBorders>
            <w:shd w:val="clear" w:color="auto" w:fill="auto"/>
            <w:vAlign w:val="bottom"/>
          </w:tcPr>
          <w:p w14:paraId="1D9201EF" w14:textId="65E9A1DC" w:rsidR="00C13497" w:rsidRDefault="003772CF">
            <w:pPr>
              <w:jc w:val="left"/>
              <w:rPr>
                <w:rFonts w:ascii="Calibri" w:hAnsi="Calibri" w:cs="Calibri"/>
                <w:color w:val="000000"/>
                <w:sz w:val="20"/>
                <w:szCs w:val="20"/>
              </w:rPr>
            </w:pPr>
            <w:r>
              <w:rPr>
                <w:rFonts w:ascii="Calibri" w:hAnsi="Calibri" w:cs="Calibri"/>
                <w:color w:val="000000"/>
                <w:sz w:val="20"/>
                <w:szCs w:val="20"/>
              </w:rPr>
              <w:t xml:space="preserve">       </w:t>
            </w:r>
            <w:r w:rsidR="000442AE">
              <w:rPr>
                <w:rFonts w:ascii="Calibri" w:hAnsi="Calibri" w:cs="Calibri"/>
                <w:color w:val="000000"/>
                <w:sz w:val="20"/>
                <w:szCs w:val="20"/>
              </w:rPr>
              <w:t xml:space="preserve">85 854 </w:t>
            </w:r>
            <w:r>
              <w:rPr>
                <w:rFonts w:ascii="Calibri" w:hAnsi="Calibri" w:cs="Calibri"/>
                <w:color w:val="000000"/>
                <w:sz w:val="20"/>
                <w:szCs w:val="20"/>
              </w:rPr>
              <w:t xml:space="preserve">000 000,00   </w:t>
            </w:r>
          </w:p>
        </w:tc>
      </w:tr>
    </w:tbl>
    <w:p w14:paraId="1CB67B03" w14:textId="77777777" w:rsidR="00C13497" w:rsidRDefault="00C13497">
      <w:pPr>
        <w:ind w:right="567"/>
      </w:pPr>
    </w:p>
    <w:p w14:paraId="1F99D4AB" w14:textId="77777777" w:rsidR="00C13497" w:rsidRDefault="003772CF">
      <w:pPr>
        <w:ind w:right="567"/>
      </w:pPr>
      <w:r>
        <w:t xml:space="preserve"> Le tableau détaillé avec les Communes et Fokontany est récapitulé en annexe pour les deux composantes.</w:t>
      </w:r>
    </w:p>
    <w:p w14:paraId="6B806EE6" w14:textId="77777777" w:rsidR="00C13497" w:rsidRDefault="00C13497">
      <w:pPr>
        <w:ind w:right="567"/>
      </w:pPr>
    </w:p>
    <w:p w14:paraId="392B5209"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p>
    <w:p w14:paraId="4DF6ED13" w14:textId="77777777" w:rsidR="00C13497" w:rsidRDefault="003772CF">
      <w:pPr>
        <w:shd w:val="clear" w:color="auto" w:fill="FFFFFF" w:themeFill="background1"/>
        <w:spacing w:after="120"/>
        <w:ind w:right="567" w:firstLine="709"/>
        <w:outlineLvl w:val="0"/>
        <w:rPr>
          <w:b/>
          <w:i/>
          <w:sz w:val="22"/>
          <w:szCs w:val="22"/>
        </w:rPr>
      </w:pPr>
      <w:r>
        <w:rPr>
          <w:b/>
          <w:i/>
          <w:sz w:val="22"/>
          <w:szCs w:val="22"/>
        </w:rPr>
        <w:t>3.4 Groupes cibles</w:t>
      </w:r>
    </w:p>
    <w:p w14:paraId="14F1C886"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p>
    <w:p w14:paraId="1AA66F42" w14:textId="77777777" w:rsidR="00C13497" w:rsidRDefault="003772CF">
      <w:r>
        <w:t xml:space="preserve">Les groupes cibles se décomposent en deux </w:t>
      </w:r>
      <w:proofErr w:type="gramStart"/>
      <w:r>
        <w:t>catégories:</w:t>
      </w:r>
      <w:proofErr w:type="gramEnd"/>
    </w:p>
    <w:p w14:paraId="7E0701C0" w14:textId="77777777" w:rsidR="00C13497" w:rsidRDefault="00C13497"/>
    <w:p w14:paraId="6DDB2D97" w14:textId="77777777" w:rsidR="00C13497" w:rsidRDefault="003772CF">
      <w:pPr>
        <w:pStyle w:val="Paragraphedeliste"/>
        <w:numPr>
          <w:ilvl w:val="0"/>
          <w:numId w:val="3"/>
        </w:numPr>
        <w:spacing w:after="0" w:line="240" w:lineRule="auto"/>
        <w:ind w:left="0"/>
        <w:jc w:val="both"/>
        <w:rPr>
          <w:rFonts w:ascii="Times New Roman" w:hAnsi="Times New Roman"/>
          <w:sz w:val="24"/>
          <w:szCs w:val="24"/>
          <w:lang w:val="fr-FR"/>
        </w:rPr>
      </w:pPr>
      <w:r>
        <w:rPr>
          <w:rFonts w:ascii="Times New Roman" w:hAnsi="Times New Roman"/>
          <w:sz w:val="24"/>
          <w:szCs w:val="24"/>
          <w:lang w:val="fr-FR"/>
        </w:rPr>
        <w:t>1</w:t>
      </w:r>
      <w:r>
        <w:rPr>
          <w:rFonts w:ascii="Times New Roman" w:hAnsi="Times New Roman"/>
          <w:sz w:val="24"/>
          <w:szCs w:val="24"/>
          <w:vertAlign w:val="superscript"/>
          <w:lang w:val="fr-FR"/>
        </w:rPr>
        <w:t>ère</w:t>
      </w:r>
      <w:r>
        <w:rPr>
          <w:rFonts w:ascii="Times New Roman" w:hAnsi="Times New Roman"/>
          <w:sz w:val="24"/>
          <w:szCs w:val="24"/>
          <w:lang w:val="fr-FR"/>
        </w:rPr>
        <w:t xml:space="preserve"> catégorie (ACT-P) : les travailleurs de l’ACT-P appartenant aux familles les plus pauvres dans les zones ciblées </w:t>
      </w:r>
    </w:p>
    <w:p w14:paraId="0C70EA07" w14:textId="77777777" w:rsidR="00C13497" w:rsidRDefault="00C13497">
      <w:pPr>
        <w:pStyle w:val="Paragraphedeliste"/>
        <w:spacing w:after="0" w:line="240" w:lineRule="auto"/>
        <w:ind w:left="0"/>
        <w:jc w:val="both"/>
        <w:rPr>
          <w:rFonts w:ascii="Times New Roman" w:hAnsi="Times New Roman"/>
          <w:sz w:val="24"/>
          <w:szCs w:val="24"/>
          <w:lang w:val="fr-FR"/>
        </w:rPr>
      </w:pPr>
    </w:p>
    <w:p w14:paraId="62CEBEDF" w14:textId="77777777" w:rsidR="00C13497" w:rsidRDefault="003772CF">
      <w:pPr>
        <w:pStyle w:val="Paragraphedeliste"/>
        <w:numPr>
          <w:ilvl w:val="0"/>
          <w:numId w:val="3"/>
        </w:numPr>
        <w:spacing w:after="0" w:line="240" w:lineRule="auto"/>
        <w:ind w:left="0"/>
        <w:jc w:val="both"/>
        <w:rPr>
          <w:rFonts w:ascii="Times New Roman" w:hAnsi="Times New Roman"/>
          <w:sz w:val="24"/>
          <w:szCs w:val="24"/>
          <w:lang w:val="fr-FR"/>
        </w:rPr>
      </w:pPr>
      <w:r>
        <w:rPr>
          <w:rFonts w:ascii="Times New Roman" w:hAnsi="Times New Roman"/>
          <w:sz w:val="24"/>
          <w:szCs w:val="24"/>
          <w:lang w:val="fr-FR"/>
        </w:rPr>
        <w:t>2</w:t>
      </w:r>
      <w:r>
        <w:rPr>
          <w:rFonts w:ascii="Times New Roman" w:hAnsi="Times New Roman"/>
          <w:sz w:val="24"/>
          <w:szCs w:val="24"/>
          <w:vertAlign w:val="superscript"/>
          <w:lang w:val="fr-FR"/>
        </w:rPr>
        <w:t>ème</w:t>
      </w:r>
      <w:r>
        <w:rPr>
          <w:rFonts w:ascii="Times New Roman" w:hAnsi="Times New Roman"/>
          <w:sz w:val="24"/>
          <w:szCs w:val="24"/>
          <w:lang w:val="fr-FR"/>
        </w:rPr>
        <w:t xml:space="preserve"> catégorie (TMDH) : les ménages sélectionnés comme vulnérables et intégrés dans le programme du TMDH dans les zones ciblées.</w:t>
      </w:r>
    </w:p>
    <w:p w14:paraId="70E0458F" w14:textId="77777777" w:rsidR="00C13497" w:rsidRDefault="00C13497">
      <w:pPr>
        <w:shd w:val="clear" w:color="auto" w:fill="FFFFFF" w:themeFill="background1"/>
        <w:ind w:right="567"/>
      </w:pPr>
    </w:p>
    <w:p w14:paraId="66D9843F" w14:textId="77777777" w:rsidR="00C13497" w:rsidRDefault="00C13497">
      <w:pPr>
        <w:shd w:val="clear" w:color="auto" w:fill="FFFFFF" w:themeFill="background1"/>
        <w:ind w:right="567"/>
      </w:pPr>
    </w:p>
    <w:p w14:paraId="41B3441F" w14:textId="77777777" w:rsidR="00C13497" w:rsidRDefault="003772CF">
      <w:pPr>
        <w:pStyle w:val="Paragraphedeliste"/>
        <w:numPr>
          <w:ilvl w:val="0"/>
          <w:numId w:val="4"/>
        </w:numPr>
        <w:shd w:val="clear" w:color="auto" w:fill="FFFFFF" w:themeFill="background1"/>
        <w:spacing w:after="0" w:line="240" w:lineRule="auto"/>
        <w:ind w:left="0" w:right="567" w:firstLine="0"/>
        <w:jc w:val="both"/>
        <w:rPr>
          <w:rFonts w:ascii="Times New Roman" w:hAnsi="Times New Roman"/>
          <w:b/>
          <w:sz w:val="24"/>
          <w:szCs w:val="24"/>
          <w:lang w:val="fr-FR"/>
        </w:rPr>
      </w:pPr>
      <w:r>
        <w:rPr>
          <w:rFonts w:ascii="Times New Roman" w:hAnsi="Times New Roman"/>
          <w:b/>
          <w:sz w:val="24"/>
          <w:szCs w:val="24"/>
          <w:lang w:val="fr-FR"/>
        </w:rPr>
        <w:t>Outils et livrables</w:t>
      </w:r>
    </w:p>
    <w:p w14:paraId="15492DEF" w14:textId="77777777" w:rsidR="00C13497" w:rsidRDefault="003772CF">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r>
        <w:rPr>
          <w:rFonts w:ascii="Times New Roman" w:hAnsi="Times New Roman"/>
          <w:b/>
          <w:sz w:val="24"/>
          <w:szCs w:val="24"/>
          <w:lang w:val="fr-FR"/>
        </w:rPr>
        <w:tab/>
      </w:r>
    </w:p>
    <w:p w14:paraId="3373E70B" w14:textId="77777777" w:rsidR="00C13497" w:rsidRDefault="003772CF">
      <w:pPr>
        <w:pStyle w:val="Paragraphedeliste"/>
        <w:shd w:val="clear" w:color="auto" w:fill="FFFFFF" w:themeFill="background1"/>
        <w:spacing w:after="0" w:line="240" w:lineRule="auto"/>
        <w:ind w:left="0" w:right="567"/>
        <w:jc w:val="both"/>
        <w:outlineLvl w:val="0"/>
        <w:rPr>
          <w:rFonts w:ascii="Times New Roman" w:hAnsi="Times New Roman"/>
          <w:b/>
          <w:sz w:val="24"/>
          <w:szCs w:val="24"/>
          <w:lang w:val="fr-FR"/>
        </w:rPr>
      </w:pPr>
      <w:r>
        <w:rPr>
          <w:rFonts w:ascii="Times New Roman" w:hAnsi="Times New Roman"/>
          <w:b/>
          <w:sz w:val="24"/>
          <w:szCs w:val="24"/>
          <w:lang w:val="fr-FR"/>
        </w:rPr>
        <w:tab/>
      </w:r>
      <w:r>
        <w:rPr>
          <w:rFonts w:ascii="Times New Roman" w:hAnsi="Times New Roman"/>
          <w:b/>
          <w:i/>
          <w:sz w:val="24"/>
          <w:szCs w:val="24"/>
          <w:lang w:val="fr-FR"/>
        </w:rPr>
        <w:t>4.1 Outils financiers</w:t>
      </w:r>
    </w:p>
    <w:p w14:paraId="007353D6" w14:textId="77777777" w:rsidR="00C13497" w:rsidRDefault="00C13497">
      <w:pPr>
        <w:shd w:val="clear" w:color="auto" w:fill="FFFFFF" w:themeFill="background1"/>
        <w:ind w:left="1440"/>
        <w:rPr>
          <w:i/>
        </w:rPr>
      </w:pPr>
    </w:p>
    <w:p w14:paraId="6363ED1D" w14:textId="77777777" w:rsidR="00C13497" w:rsidRDefault="003772CF">
      <w:pPr>
        <w:shd w:val="clear" w:color="auto" w:fill="FFFFFF" w:themeFill="background1"/>
      </w:pPr>
      <w:r>
        <w:t>Le Prestataire de Service tiendra les registres et les comptes ayant trait aux dépenses encourues dans la cadre de la convention.</w:t>
      </w:r>
    </w:p>
    <w:p w14:paraId="0B8C7078" w14:textId="77777777" w:rsidR="00C13497" w:rsidRDefault="00C13497">
      <w:pPr>
        <w:shd w:val="clear" w:color="auto" w:fill="FFFFFF" w:themeFill="background1"/>
      </w:pPr>
    </w:p>
    <w:p w14:paraId="25C35EFF" w14:textId="77777777" w:rsidR="00C13497" w:rsidRDefault="003772CF">
      <w:pPr>
        <w:pStyle w:val="Paragraphedeliste"/>
        <w:shd w:val="clear" w:color="auto" w:fill="FFFFFF" w:themeFill="background1"/>
        <w:spacing w:after="0" w:line="240" w:lineRule="auto"/>
        <w:ind w:left="0"/>
        <w:jc w:val="both"/>
        <w:rPr>
          <w:rFonts w:ascii="Times New Roman" w:hAnsi="Times New Roman"/>
          <w:sz w:val="24"/>
          <w:szCs w:val="24"/>
          <w:lang w:val="fr-FR"/>
        </w:rPr>
      </w:pPr>
      <w:r>
        <w:rPr>
          <w:rFonts w:ascii="Times New Roman" w:hAnsi="Times New Roman"/>
          <w:sz w:val="24"/>
          <w:szCs w:val="24"/>
          <w:lang w:val="fr-FR"/>
        </w:rPr>
        <w:t xml:space="preserve">Le Prestataire de Service fournira, avec les rapports mentionnés ci-dessous, un relevé détaillé et émargé par chaque bénéficiaire des transferts effectués (du même type que les relevés d’appels téléphoniques) au FID pour permettre de faire le rapprochement des sommes effectivement transférés et payés pour les IMF et une balance consolidée des mouvements de compte des bénéficiaires exporté via la plateforme pour les opérateurs de mobiles money.  </w:t>
      </w:r>
    </w:p>
    <w:p w14:paraId="53202757"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sz w:val="24"/>
          <w:szCs w:val="24"/>
          <w:u w:val="single"/>
          <w:lang w:val="fr-FR"/>
        </w:rPr>
      </w:pPr>
    </w:p>
    <w:p w14:paraId="1392121E" w14:textId="77777777" w:rsidR="00C13497" w:rsidRDefault="003772CF">
      <w:pPr>
        <w:pStyle w:val="Paragraphedeliste"/>
        <w:shd w:val="clear" w:color="auto" w:fill="FFFFFF" w:themeFill="background1"/>
        <w:spacing w:after="0" w:line="240" w:lineRule="auto"/>
        <w:ind w:left="0" w:right="567"/>
        <w:jc w:val="both"/>
        <w:outlineLvl w:val="0"/>
        <w:rPr>
          <w:rFonts w:ascii="Times New Roman" w:hAnsi="Times New Roman"/>
          <w:b/>
          <w:i/>
          <w:sz w:val="24"/>
          <w:szCs w:val="24"/>
          <w:lang w:val="fr-FR"/>
        </w:rPr>
      </w:pPr>
      <w:r>
        <w:rPr>
          <w:rFonts w:ascii="Times New Roman" w:hAnsi="Times New Roman"/>
          <w:b/>
          <w:i/>
          <w:sz w:val="24"/>
          <w:szCs w:val="24"/>
          <w:lang w:val="fr-FR"/>
        </w:rPr>
        <w:tab/>
        <w:t>4.2 Rapports</w:t>
      </w:r>
    </w:p>
    <w:p w14:paraId="65CDD6BF" w14:textId="77777777" w:rsidR="00C13497" w:rsidRDefault="00C13497">
      <w:pPr>
        <w:shd w:val="clear" w:color="auto" w:fill="FFFFFF" w:themeFill="background1"/>
        <w:ind w:left="1440"/>
        <w:rPr>
          <w:i/>
        </w:rPr>
      </w:pPr>
    </w:p>
    <w:p w14:paraId="24B45307" w14:textId="4EF350A2" w:rsidR="00C13497" w:rsidRDefault="003772CF">
      <w:r>
        <w:t xml:space="preserve">Le Prestataire de Service Financier soumettra au FID </w:t>
      </w:r>
      <w:r w:rsidR="00BD5A13">
        <w:t xml:space="preserve">trois </w:t>
      </w:r>
      <w:r>
        <w:t>rapports :</w:t>
      </w:r>
    </w:p>
    <w:p w14:paraId="34E1EDC3" w14:textId="77777777" w:rsidR="00C13497" w:rsidRDefault="00C13497">
      <w:pPr>
        <w:ind w:left="567" w:right="567"/>
      </w:pPr>
    </w:p>
    <w:p w14:paraId="6DFFCF04" w14:textId="1A0F6DAE" w:rsidR="00BD5A13" w:rsidRDefault="00BD5A13">
      <w:pPr>
        <w:pStyle w:val="Paragraphedeliste"/>
        <w:numPr>
          <w:ilvl w:val="0"/>
          <w:numId w:val="5"/>
        </w:numPr>
        <w:spacing w:after="0" w:line="240" w:lineRule="auto"/>
        <w:ind w:left="0" w:firstLine="0"/>
        <w:jc w:val="both"/>
        <w:rPr>
          <w:rFonts w:ascii="Times New Roman" w:hAnsi="Times New Roman"/>
          <w:i/>
          <w:sz w:val="24"/>
          <w:szCs w:val="24"/>
          <w:lang w:val="fr-FR"/>
        </w:rPr>
      </w:pPr>
      <w:r>
        <w:rPr>
          <w:rFonts w:ascii="Times New Roman" w:hAnsi="Times New Roman"/>
          <w:i/>
          <w:sz w:val="24"/>
          <w:szCs w:val="24"/>
          <w:lang w:val="fr-FR"/>
        </w:rPr>
        <w:t>Rapports de formation</w:t>
      </w:r>
    </w:p>
    <w:p w14:paraId="552C0797" w14:textId="77777777" w:rsidR="00F53EF7" w:rsidRDefault="00F53EF7" w:rsidP="00DB19B8">
      <w:pPr>
        <w:pStyle w:val="Paragraphedeliste"/>
        <w:spacing w:after="0" w:line="240" w:lineRule="auto"/>
        <w:ind w:left="0"/>
        <w:jc w:val="both"/>
        <w:rPr>
          <w:rFonts w:ascii="Times New Roman" w:hAnsi="Times New Roman"/>
          <w:i/>
          <w:sz w:val="24"/>
          <w:szCs w:val="24"/>
          <w:lang w:val="fr-FR"/>
        </w:rPr>
      </w:pPr>
    </w:p>
    <w:p w14:paraId="09B5AF36" w14:textId="33F85925" w:rsidR="00BD5A13" w:rsidRPr="00DB19B8" w:rsidRDefault="00BD5A13" w:rsidP="00DB19B8">
      <w:r w:rsidRPr="00DB19B8">
        <w:t xml:space="preserve">Le </w:t>
      </w:r>
      <w:r w:rsidR="00B95084">
        <w:t>P</w:t>
      </w:r>
      <w:r w:rsidRPr="00DB19B8">
        <w:t xml:space="preserve">restataire de Service Financier soumettra au FID un rapport de formation </w:t>
      </w:r>
      <w:r w:rsidR="00F53EF7" w:rsidRPr="00DB19B8">
        <w:t xml:space="preserve">au plus tard 07 jours après la fin de formation des bénéficiaires. </w:t>
      </w:r>
    </w:p>
    <w:p w14:paraId="107AA792" w14:textId="570AD220" w:rsidR="00F53EF7" w:rsidRDefault="00F53EF7" w:rsidP="00DB19B8">
      <w:r w:rsidRPr="00DB19B8">
        <w:t>Le rapport de formation récapitule le bilan quantitatif et qualitatif de la formation ; un compte –rendu détaillé mentionnant les méthodologies utilisées et les activités pendant les formations.</w:t>
      </w:r>
    </w:p>
    <w:p w14:paraId="7267B2B0" w14:textId="77777777" w:rsidR="00E377F0" w:rsidRPr="00DB19B8" w:rsidRDefault="00E377F0" w:rsidP="00DB19B8"/>
    <w:p w14:paraId="402B4535" w14:textId="77777777" w:rsidR="00F53EF7" w:rsidRPr="00DB19B8" w:rsidRDefault="00F53EF7" w:rsidP="00DB19B8">
      <w:pPr>
        <w:rPr>
          <w:i/>
        </w:rPr>
      </w:pPr>
    </w:p>
    <w:p w14:paraId="5A6B30D9" w14:textId="77777777" w:rsidR="00C13497" w:rsidRDefault="003772CF">
      <w:pPr>
        <w:pStyle w:val="Paragraphedeliste"/>
        <w:numPr>
          <w:ilvl w:val="0"/>
          <w:numId w:val="5"/>
        </w:numPr>
        <w:spacing w:after="0" w:line="240" w:lineRule="auto"/>
        <w:ind w:left="0" w:firstLine="0"/>
        <w:jc w:val="both"/>
        <w:rPr>
          <w:rFonts w:ascii="Times New Roman" w:hAnsi="Times New Roman"/>
          <w:i/>
          <w:sz w:val="24"/>
          <w:szCs w:val="24"/>
          <w:lang w:val="fr-FR"/>
        </w:rPr>
      </w:pPr>
      <w:r>
        <w:rPr>
          <w:rFonts w:ascii="Times New Roman" w:hAnsi="Times New Roman"/>
          <w:i/>
          <w:sz w:val="24"/>
          <w:szCs w:val="24"/>
          <w:lang w:val="fr-FR"/>
        </w:rPr>
        <w:lastRenderedPageBreak/>
        <w:t>Rapports intermédiaires</w:t>
      </w:r>
    </w:p>
    <w:p w14:paraId="5D3DDAF5" w14:textId="77777777" w:rsidR="00C13497" w:rsidRDefault="00C13497">
      <w:pPr>
        <w:pStyle w:val="Paragraphedeliste"/>
        <w:spacing w:after="0" w:line="240" w:lineRule="auto"/>
        <w:ind w:left="0"/>
        <w:jc w:val="both"/>
        <w:rPr>
          <w:rFonts w:ascii="Times New Roman" w:hAnsi="Times New Roman"/>
          <w:i/>
          <w:sz w:val="24"/>
          <w:szCs w:val="24"/>
          <w:lang w:val="fr-FR"/>
        </w:rPr>
      </w:pPr>
    </w:p>
    <w:p w14:paraId="2905D8F3" w14:textId="57A2F27A" w:rsidR="00C13497" w:rsidRDefault="003772CF">
      <w:r>
        <w:t xml:space="preserve">Le </w:t>
      </w:r>
      <w:r w:rsidR="00B95084">
        <w:t xml:space="preserve">Prestataire </w:t>
      </w:r>
      <w:r>
        <w:t xml:space="preserve">de </w:t>
      </w:r>
      <w:r w:rsidR="00B95084">
        <w:t xml:space="preserve">Service Financier </w:t>
      </w:r>
      <w:r>
        <w:t>soumettra au FID un rapport intermédiaire pour chaque tranche de financement transférée pour le paiement en faveur des travailleurs de l'ACT-P et des bénéficiaires du TMDH.</w:t>
      </w:r>
    </w:p>
    <w:p w14:paraId="6060A3FD" w14:textId="77777777" w:rsidR="00C13497" w:rsidRDefault="00C13497"/>
    <w:p w14:paraId="76800636" w14:textId="77777777" w:rsidR="00C13497" w:rsidRDefault="003772CF">
      <w:r>
        <w:t xml:space="preserve">Les rapports intermédiaires </w:t>
      </w:r>
      <w:proofErr w:type="gramStart"/>
      <w:r>
        <w:t>dressent  l’état</w:t>
      </w:r>
      <w:proofErr w:type="gramEnd"/>
      <w:r>
        <w:t xml:space="preserve"> de l’utilisation de chaque tranche de financement  transféré à son compte. Le rapport détaillé sera établi suivant le canevas qui lui sera remis à la signature de la convention, sur l’exécution des paiements en faveur bénéficiaires cités plus haut.</w:t>
      </w:r>
    </w:p>
    <w:p w14:paraId="287B35A3" w14:textId="3FF99C31" w:rsidR="00C13497" w:rsidRDefault="003772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pPr>
      <w:r>
        <w:t xml:space="preserve">Le rapport sera remis au FID au plus tard </w:t>
      </w:r>
      <w:r w:rsidR="00BD5A13">
        <w:t>une</w:t>
      </w:r>
      <w:r>
        <w:t xml:space="preserve"> semaine après la fin de chaque paiement. Le rapport sera établi en une version électronique et en une version physique.</w:t>
      </w:r>
    </w:p>
    <w:p w14:paraId="19C576F9" w14:textId="77777777" w:rsidR="00C13497" w:rsidRDefault="00C13497"/>
    <w:p w14:paraId="4771F03E" w14:textId="65E9ED26" w:rsidR="00C13497" w:rsidRDefault="003772CF">
      <w:r>
        <w:t xml:space="preserve">Le rapport sera établi par l’agence de paiement et validé par la Direction Inter Régionale du FID. Après la réception du rapport, des vérifications seront faites par FID et un état de réconciliation sur la distribution </w:t>
      </w:r>
      <w:proofErr w:type="gramStart"/>
      <w:r>
        <w:t>est  envoyé</w:t>
      </w:r>
      <w:proofErr w:type="gramEnd"/>
      <w:r>
        <w:t xml:space="preserve"> aux prestataires pour la confirmation des reliquats et justification d’écart au cas où il y en a. </w:t>
      </w:r>
    </w:p>
    <w:p w14:paraId="791A66CB" w14:textId="77777777" w:rsidR="00C13497" w:rsidRDefault="00C13497"/>
    <w:p w14:paraId="04E665A6" w14:textId="77777777" w:rsidR="00C13497" w:rsidRDefault="00C13497">
      <w:pPr>
        <w:pStyle w:val="Paragraphedeliste"/>
        <w:spacing w:after="0" w:line="240" w:lineRule="auto"/>
        <w:ind w:left="0"/>
        <w:jc w:val="both"/>
        <w:rPr>
          <w:rFonts w:ascii="Times New Roman" w:hAnsi="Times New Roman"/>
          <w:i/>
          <w:sz w:val="24"/>
          <w:szCs w:val="24"/>
          <w:lang w:val="fr-FR"/>
        </w:rPr>
      </w:pPr>
    </w:p>
    <w:p w14:paraId="15D63400" w14:textId="77777777" w:rsidR="00C13497" w:rsidRDefault="003772CF">
      <w:pPr>
        <w:pStyle w:val="Paragraphedeliste"/>
        <w:numPr>
          <w:ilvl w:val="0"/>
          <w:numId w:val="5"/>
        </w:numPr>
        <w:spacing w:after="0" w:line="240" w:lineRule="auto"/>
        <w:ind w:left="0" w:firstLine="0"/>
        <w:jc w:val="both"/>
        <w:rPr>
          <w:rFonts w:ascii="Times New Roman" w:hAnsi="Times New Roman"/>
          <w:i/>
          <w:sz w:val="24"/>
          <w:szCs w:val="24"/>
          <w:lang w:val="fr-FR"/>
        </w:rPr>
      </w:pPr>
      <w:r>
        <w:rPr>
          <w:rFonts w:ascii="Times New Roman" w:hAnsi="Times New Roman"/>
          <w:i/>
          <w:sz w:val="24"/>
          <w:szCs w:val="24"/>
          <w:lang w:val="fr-FR"/>
        </w:rPr>
        <w:t>Rapport final</w:t>
      </w:r>
    </w:p>
    <w:p w14:paraId="55959B4C" w14:textId="77777777" w:rsidR="00C13497" w:rsidRDefault="00C13497">
      <w:pPr>
        <w:pStyle w:val="Paragraphedeliste"/>
        <w:shd w:val="clear" w:color="auto" w:fill="FFFFFF" w:themeFill="background1"/>
        <w:spacing w:after="0" w:line="240" w:lineRule="auto"/>
        <w:ind w:left="1800"/>
        <w:jc w:val="both"/>
        <w:rPr>
          <w:rFonts w:ascii="Times New Roman" w:hAnsi="Times New Roman"/>
          <w:i/>
          <w:sz w:val="24"/>
          <w:szCs w:val="24"/>
          <w:lang w:val="fr-FR"/>
        </w:rPr>
      </w:pPr>
    </w:p>
    <w:p w14:paraId="67738E65" w14:textId="11C789C7" w:rsidR="00C13497" w:rsidRDefault="003772CF">
      <w:r>
        <w:t xml:space="preserve">Le </w:t>
      </w:r>
      <w:r w:rsidR="00B95084">
        <w:t xml:space="preserve">Prestataire </w:t>
      </w:r>
      <w:r>
        <w:t xml:space="preserve">de </w:t>
      </w:r>
      <w:r w:rsidR="00B95084">
        <w:t xml:space="preserve">Service Financier </w:t>
      </w:r>
      <w:r>
        <w:t xml:space="preserve">présentera un rapport annuel au plus tard trente jours calendaires après la fin du dernier paiement qu’il aurait effectué. </w:t>
      </w:r>
    </w:p>
    <w:p w14:paraId="572AA616" w14:textId="77777777" w:rsidR="00C13497" w:rsidRDefault="00C13497"/>
    <w:p w14:paraId="1A327B54" w14:textId="77777777" w:rsidR="00C13497" w:rsidRDefault="003772CF">
      <w:r>
        <w:t>Globalement, le rapport annuel récapitule les situations de paiement des travailleurs de l'ACT-P et des bénéficiaires du TMDH pendant l’année écoulée, les problèmes rencontrés et les solutions prises, les leçons tirées et les recommandations. Un modèle-type de rapport sera remis à la signature de la convention.</w:t>
      </w:r>
    </w:p>
    <w:p w14:paraId="1DB1F71F" w14:textId="77777777" w:rsidR="00C13497" w:rsidRDefault="00C13497"/>
    <w:p w14:paraId="4F621D2E" w14:textId="77777777" w:rsidR="00C13497" w:rsidRDefault="003772CF">
      <w:pPr>
        <w:pStyle w:val="Paragraphedeliste"/>
        <w:shd w:val="clear" w:color="auto" w:fill="FFFFFF" w:themeFill="background1"/>
        <w:spacing w:after="0" w:line="240" w:lineRule="auto"/>
        <w:ind w:left="0" w:right="567" w:firstLine="851"/>
        <w:jc w:val="both"/>
        <w:outlineLvl w:val="0"/>
        <w:rPr>
          <w:rFonts w:ascii="Times New Roman" w:hAnsi="Times New Roman"/>
          <w:b/>
          <w:i/>
          <w:sz w:val="24"/>
          <w:szCs w:val="24"/>
          <w:lang w:val="fr-FR"/>
        </w:rPr>
      </w:pPr>
      <w:r>
        <w:rPr>
          <w:rFonts w:ascii="Times New Roman" w:hAnsi="Times New Roman"/>
          <w:b/>
          <w:i/>
          <w:sz w:val="24"/>
          <w:szCs w:val="24"/>
          <w:lang w:val="fr-FR"/>
        </w:rPr>
        <w:t xml:space="preserve">4.3 Factures de prestations </w:t>
      </w:r>
    </w:p>
    <w:p w14:paraId="02063B0B" w14:textId="77777777" w:rsidR="00C13497" w:rsidRDefault="00C13497">
      <w:pPr>
        <w:pStyle w:val="Paragraphedeliste"/>
        <w:shd w:val="clear" w:color="auto" w:fill="FFFFFF" w:themeFill="background1"/>
        <w:spacing w:after="0" w:line="240" w:lineRule="auto"/>
        <w:ind w:left="0" w:right="567" w:firstLine="851"/>
        <w:jc w:val="both"/>
        <w:outlineLvl w:val="0"/>
        <w:rPr>
          <w:rFonts w:ascii="Times New Roman" w:hAnsi="Times New Roman"/>
          <w:b/>
          <w:i/>
          <w:sz w:val="24"/>
          <w:szCs w:val="24"/>
          <w:lang w:val="fr-FR"/>
        </w:rPr>
      </w:pPr>
    </w:p>
    <w:p w14:paraId="4413B37E" w14:textId="49CAAF77" w:rsidR="00C13497" w:rsidRDefault="003772CF">
      <w:r>
        <w:t xml:space="preserve">Les coûts de prestation seront </w:t>
      </w:r>
      <w:r w:rsidR="00B95084">
        <w:t>transférés avec les montants alloués aux béné</w:t>
      </w:r>
      <w:r w:rsidR="007E6ECB">
        <w:t xml:space="preserve">ficiaires selon le taux convenu et les factures correspondantes </w:t>
      </w:r>
      <w:r w:rsidR="00E377F0">
        <w:t xml:space="preserve">sont </w:t>
      </w:r>
      <w:r w:rsidR="007E6ECB">
        <w:t xml:space="preserve">à faire parvenir au FID </w:t>
      </w:r>
      <w:r>
        <w:t>au plus tard 7 jours après paiement sur site</w:t>
      </w:r>
      <w:r w:rsidR="007E6ECB">
        <w:t xml:space="preserve"> avec la livraison du rapport </w:t>
      </w:r>
      <w:r w:rsidR="00E377F0">
        <w:t>intermédiaire</w:t>
      </w:r>
      <w:r>
        <w:t>.</w:t>
      </w:r>
    </w:p>
    <w:p w14:paraId="42D9BFD8" w14:textId="77777777" w:rsidR="00C13497" w:rsidRDefault="00C13497"/>
    <w:p w14:paraId="36A18E7F" w14:textId="77777777" w:rsidR="00C13497" w:rsidRDefault="003772CF">
      <w:pPr>
        <w:pStyle w:val="Paragraphedeliste"/>
        <w:shd w:val="clear" w:color="auto" w:fill="FFFFFF" w:themeFill="background1"/>
        <w:spacing w:after="0" w:line="240" w:lineRule="auto"/>
        <w:ind w:left="0" w:right="567" w:firstLine="851"/>
        <w:jc w:val="both"/>
        <w:outlineLvl w:val="0"/>
        <w:rPr>
          <w:rFonts w:ascii="Times New Roman" w:hAnsi="Times New Roman"/>
          <w:b/>
          <w:i/>
          <w:sz w:val="24"/>
          <w:szCs w:val="24"/>
          <w:lang w:val="fr-FR"/>
        </w:rPr>
      </w:pPr>
      <w:r>
        <w:rPr>
          <w:rFonts w:ascii="Times New Roman" w:hAnsi="Times New Roman"/>
          <w:b/>
          <w:i/>
          <w:sz w:val="24"/>
          <w:szCs w:val="24"/>
          <w:lang w:val="fr-FR"/>
        </w:rPr>
        <w:t>4.4 Supervision et Audit</w:t>
      </w:r>
    </w:p>
    <w:p w14:paraId="6EE46D7C" w14:textId="77777777" w:rsidR="00C13497" w:rsidRDefault="00C13497">
      <w:pPr>
        <w:shd w:val="clear" w:color="auto" w:fill="FFFFFF" w:themeFill="background1"/>
        <w:ind w:left="1440"/>
        <w:rPr>
          <w:i/>
        </w:rPr>
      </w:pPr>
    </w:p>
    <w:p w14:paraId="4C491599" w14:textId="77777777" w:rsidR="00C13497" w:rsidRDefault="003772CF">
      <w:pPr>
        <w:pStyle w:val="Paragraphedeliste"/>
        <w:numPr>
          <w:ilvl w:val="0"/>
          <w:numId w:val="13"/>
        </w:numPr>
        <w:spacing w:after="0" w:line="240" w:lineRule="auto"/>
        <w:ind w:left="284" w:hanging="284"/>
        <w:jc w:val="both"/>
        <w:rPr>
          <w:rFonts w:ascii="Times New Roman" w:hAnsi="Times New Roman"/>
          <w:i/>
          <w:sz w:val="24"/>
          <w:szCs w:val="24"/>
          <w:lang w:val="fr-FR"/>
        </w:rPr>
      </w:pPr>
      <w:r>
        <w:rPr>
          <w:rFonts w:ascii="Times New Roman" w:hAnsi="Times New Roman"/>
          <w:i/>
          <w:sz w:val="24"/>
          <w:szCs w:val="24"/>
          <w:lang w:val="fr-FR"/>
        </w:rPr>
        <w:t xml:space="preserve">    Supervision</w:t>
      </w:r>
    </w:p>
    <w:p w14:paraId="2ACE699F" w14:textId="77777777" w:rsidR="00C13497" w:rsidRDefault="00C13497">
      <w:pPr>
        <w:pStyle w:val="Paragraphedeliste"/>
        <w:shd w:val="clear" w:color="auto" w:fill="FFFFFF" w:themeFill="background1"/>
        <w:spacing w:after="0" w:line="240" w:lineRule="auto"/>
        <w:ind w:left="1800"/>
        <w:jc w:val="both"/>
        <w:rPr>
          <w:rFonts w:ascii="Times New Roman" w:hAnsi="Times New Roman"/>
          <w:i/>
          <w:sz w:val="24"/>
          <w:szCs w:val="24"/>
          <w:lang w:val="fr-FR"/>
        </w:rPr>
      </w:pPr>
    </w:p>
    <w:p w14:paraId="4BB6C6D6" w14:textId="77777777" w:rsidR="00C13497" w:rsidRDefault="003772CF">
      <w:pPr>
        <w:shd w:val="clear" w:color="auto" w:fill="FFFFFF" w:themeFill="background1"/>
      </w:pPr>
      <w:r>
        <w:t>En plus de la mission de préparation, les agents du FID effectueront des missions de prise en main des IMF et des opérateurs de mobile money et de suivi des paiements aux bénéficiaires.</w:t>
      </w:r>
    </w:p>
    <w:p w14:paraId="3DF6E3EC" w14:textId="77777777" w:rsidR="00C13497" w:rsidRDefault="00C13497">
      <w:pPr>
        <w:pStyle w:val="Paragraphedeliste"/>
        <w:shd w:val="clear" w:color="auto" w:fill="FFFFFF" w:themeFill="background1"/>
        <w:spacing w:after="0" w:line="240" w:lineRule="auto"/>
        <w:ind w:left="0"/>
        <w:jc w:val="both"/>
        <w:rPr>
          <w:rFonts w:ascii="Times New Roman" w:hAnsi="Times New Roman"/>
          <w:sz w:val="24"/>
          <w:szCs w:val="24"/>
          <w:lang w:val="fr-FR"/>
        </w:rPr>
      </w:pPr>
    </w:p>
    <w:p w14:paraId="4392A8F4" w14:textId="77777777" w:rsidR="00C13497" w:rsidRDefault="003772CF">
      <w:pPr>
        <w:pStyle w:val="Paragraphedeliste"/>
        <w:numPr>
          <w:ilvl w:val="0"/>
          <w:numId w:val="13"/>
        </w:numPr>
        <w:spacing w:after="0" w:line="240" w:lineRule="auto"/>
        <w:ind w:hanging="720"/>
        <w:jc w:val="both"/>
        <w:rPr>
          <w:rFonts w:ascii="Times New Roman" w:hAnsi="Times New Roman"/>
          <w:i/>
          <w:sz w:val="24"/>
          <w:szCs w:val="24"/>
          <w:lang w:val="fr-FR"/>
        </w:rPr>
      </w:pPr>
      <w:r>
        <w:rPr>
          <w:rFonts w:ascii="Times New Roman" w:hAnsi="Times New Roman"/>
          <w:i/>
          <w:sz w:val="24"/>
          <w:szCs w:val="24"/>
          <w:lang w:val="fr-FR"/>
        </w:rPr>
        <w:t>Audit</w:t>
      </w:r>
    </w:p>
    <w:p w14:paraId="6C6878C5" w14:textId="77777777" w:rsidR="00C13497" w:rsidRDefault="00C13497">
      <w:pPr>
        <w:pStyle w:val="Paragraphedeliste"/>
        <w:shd w:val="clear" w:color="auto" w:fill="FFFFFF" w:themeFill="background1"/>
        <w:spacing w:after="0" w:line="240" w:lineRule="auto"/>
        <w:ind w:left="1800"/>
        <w:jc w:val="both"/>
        <w:rPr>
          <w:rFonts w:ascii="Times New Roman" w:hAnsi="Times New Roman"/>
          <w:i/>
          <w:sz w:val="24"/>
          <w:szCs w:val="24"/>
          <w:lang w:val="fr-FR"/>
        </w:rPr>
      </w:pPr>
    </w:p>
    <w:p w14:paraId="7EEE1F7D" w14:textId="2931CAF1" w:rsidR="00C13497" w:rsidRDefault="003772CF">
      <w:pPr>
        <w:shd w:val="clear" w:color="auto" w:fill="FFFFFF" w:themeFill="background1"/>
      </w:pPr>
      <w:r>
        <w:t xml:space="preserve">Le </w:t>
      </w:r>
      <w:r w:rsidR="00B95084">
        <w:t xml:space="preserve">Prestataire </w:t>
      </w:r>
      <w:r>
        <w:t xml:space="preserve">de </w:t>
      </w:r>
      <w:r w:rsidR="00B95084">
        <w:t xml:space="preserve">Service </w:t>
      </w:r>
      <w:r>
        <w:t xml:space="preserve">donnera libre accès aux représentants du FID, de l’IDA, du Gouvernement ou à toute personne mandatée par ces derniers, pour consulter les documents concernant le paiement des bénéficiaires ACT-P et des transferts aux bénéficiaires du TMDH, en particulier aux fins d’audit pour les aspects suivants : comptables </w:t>
      </w:r>
      <w:proofErr w:type="gramStart"/>
      <w:r>
        <w:t>et  financiers</w:t>
      </w:r>
      <w:proofErr w:type="gramEnd"/>
      <w:r>
        <w:t>.</w:t>
      </w:r>
    </w:p>
    <w:p w14:paraId="4D9EEE28" w14:textId="77777777" w:rsidR="00E377F0" w:rsidRDefault="00E377F0">
      <w:pPr>
        <w:shd w:val="clear" w:color="auto" w:fill="FFFFFF" w:themeFill="background1"/>
      </w:pPr>
    </w:p>
    <w:p w14:paraId="103AFD6B" w14:textId="77777777" w:rsidR="00C13497" w:rsidRDefault="00C13497">
      <w:pPr>
        <w:shd w:val="clear" w:color="auto" w:fill="FFFFFF" w:themeFill="background1"/>
      </w:pPr>
    </w:p>
    <w:p w14:paraId="2842BE50" w14:textId="77777777" w:rsidR="00E377F0" w:rsidRDefault="00E377F0">
      <w:pPr>
        <w:shd w:val="clear" w:color="auto" w:fill="FFFFFF" w:themeFill="background1"/>
      </w:pPr>
    </w:p>
    <w:p w14:paraId="4218A0DA" w14:textId="77777777" w:rsidR="00C13497" w:rsidRDefault="003772CF">
      <w:pPr>
        <w:pStyle w:val="Paragraphedeliste"/>
        <w:numPr>
          <w:ilvl w:val="1"/>
          <w:numId w:val="14"/>
        </w:numPr>
        <w:spacing w:after="120"/>
        <w:rPr>
          <w:rFonts w:ascii="Times New Roman" w:hAnsi="Times New Roman"/>
          <w:b/>
          <w:bCs/>
          <w:i/>
          <w:sz w:val="24"/>
          <w:szCs w:val="24"/>
        </w:rPr>
      </w:pPr>
      <w:r>
        <w:rPr>
          <w:rFonts w:ascii="Times New Roman" w:hAnsi="Times New Roman"/>
          <w:b/>
          <w:bCs/>
          <w:i/>
          <w:sz w:val="24"/>
          <w:szCs w:val="24"/>
        </w:rPr>
        <w:lastRenderedPageBreak/>
        <w:t xml:space="preserve">Evaluation </w:t>
      </w:r>
    </w:p>
    <w:p w14:paraId="45DFA0C3" w14:textId="764358CA" w:rsidR="00C13497" w:rsidRDefault="003772CF">
      <w:pPr>
        <w:spacing w:after="120"/>
      </w:pPr>
      <w:r>
        <w:t>L</w:t>
      </w:r>
      <w:r w:rsidR="00390566">
        <w:t xml:space="preserve">’évaluation du </w:t>
      </w:r>
      <w:r w:rsidR="00B95084">
        <w:t>P</w:t>
      </w:r>
      <w:r>
        <w:t>restataire de Service sera après 6 mois d’intervention. L'évaluation se basera sur les notes de la qualité de sa prestation et le nombre de plaintes reçues</w:t>
      </w:r>
      <w:r w:rsidR="00390566">
        <w:t xml:space="preserve"> et fondées dont la responsabilité relève du prestataire</w:t>
      </w:r>
      <w:r>
        <w:t xml:space="preserve">. </w:t>
      </w:r>
    </w:p>
    <w:p w14:paraId="2F274350" w14:textId="1D1D416B" w:rsidR="00C13497" w:rsidRDefault="003772CF">
      <w:pPr>
        <w:spacing w:after="120"/>
      </w:pPr>
      <w:r>
        <w:t xml:space="preserve">Les critères suivants sont considérés : respect du calendrier de paiement (date et horaire), qualité de gestion du </w:t>
      </w:r>
      <w:proofErr w:type="gramStart"/>
      <w:r>
        <w:t>transfert  et</w:t>
      </w:r>
      <w:proofErr w:type="gramEnd"/>
      <w:r>
        <w:t xml:space="preserve"> de l’organisation,  qualité des rapports, respect des délais de remise des rapports, </w:t>
      </w:r>
      <w:r w:rsidR="00390566">
        <w:t xml:space="preserve">la qualité de l’accueil </w:t>
      </w:r>
      <w:r>
        <w:t>des bénéficiaires, respect des clauses contractuelles,</w:t>
      </w:r>
    </w:p>
    <w:p w14:paraId="104E322D" w14:textId="77777777" w:rsidR="00C13497" w:rsidRDefault="003772CF">
      <w:pPr>
        <w:spacing w:after="120"/>
      </w:pPr>
      <w:bookmarkStart w:id="1" w:name="_Toc408574560"/>
      <w:r>
        <w:t>Les résultats de l’évaluation pourront conduire à la résiliation du contrat.</w:t>
      </w:r>
      <w:bookmarkEnd w:id="1"/>
    </w:p>
    <w:p w14:paraId="22E7A138" w14:textId="77777777" w:rsidR="00C13497" w:rsidRDefault="003772CF">
      <w:pPr>
        <w:spacing w:after="120"/>
      </w:pPr>
      <w:r>
        <w:t>La modalité, les critères d'évaluation et les conditions de la continuation du contrat sont détaillés ci-dessous :</w:t>
      </w:r>
    </w:p>
    <w:tbl>
      <w:tblPr>
        <w:tblW w:w="8505" w:type="dxa"/>
        <w:tblCellMar>
          <w:left w:w="70" w:type="dxa"/>
          <w:right w:w="70" w:type="dxa"/>
        </w:tblCellMar>
        <w:tblLook w:val="04A0" w:firstRow="1" w:lastRow="0" w:firstColumn="1" w:lastColumn="0" w:noHBand="0" w:noVBand="1"/>
      </w:tblPr>
      <w:tblGrid>
        <w:gridCol w:w="6120"/>
        <w:gridCol w:w="517"/>
        <w:gridCol w:w="517"/>
        <w:gridCol w:w="580"/>
        <w:gridCol w:w="771"/>
      </w:tblGrid>
      <w:tr w:rsidR="00C13497" w14:paraId="5838FD87" w14:textId="77777777">
        <w:trPr>
          <w:trHeight w:val="300"/>
        </w:trPr>
        <w:tc>
          <w:tcPr>
            <w:tcW w:w="7154" w:type="dxa"/>
            <w:gridSpan w:val="3"/>
            <w:shd w:val="clear" w:color="auto" w:fill="auto"/>
            <w:vAlign w:val="bottom"/>
          </w:tcPr>
          <w:p w14:paraId="2B20B604" w14:textId="77777777" w:rsidR="00C13497" w:rsidRDefault="003772CF">
            <w:pPr>
              <w:rPr>
                <w:b/>
                <w:bCs/>
                <w:color w:val="000000"/>
              </w:rPr>
            </w:pPr>
            <w:r>
              <w:rPr>
                <w:b/>
                <w:bCs/>
                <w:color w:val="000000"/>
              </w:rPr>
              <w:t xml:space="preserve">NOTE </w:t>
            </w:r>
            <w:proofErr w:type="gramStart"/>
            <w:r>
              <w:rPr>
                <w:b/>
                <w:bCs/>
                <w:color w:val="000000"/>
              </w:rPr>
              <w:t>1:</w:t>
            </w:r>
            <w:proofErr w:type="gramEnd"/>
            <w:r>
              <w:rPr>
                <w:b/>
                <w:bCs/>
                <w:color w:val="000000"/>
              </w:rPr>
              <w:t xml:space="preserve"> SUR LA QUALITE DES PRESTATIONS</w:t>
            </w:r>
          </w:p>
        </w:tc>
        <w:tc>
          <w:tcPr>
            <w:tcW w:w="580" w:type="dxa"/>
            <w:shd w:val="clear" w:color="auto" w:fill="auto"/>
            <w:vAlign w:val="bottom"/>
          </w:tcPr>
          <w:p w14:paraId="20F374AC" w14:textId="77777777" w:rsidR="00C13497" w:rsidRDefault="00C13497">
            <w:pPr>
              <w:rPr>
                <w:b/>
                <w:bCs/>
                <w:color w:val="000000"/>
              </w:rPr>
            </w:pPr>
          </w:p>
        </w:tc>
        <w:tc>
          <w:tcPr>
            <w:tcW w:w="771" w:type="dxa"/>
            <w:shd w:val="clear" w:color="auto" w:fill="auto"/>
            <w:vAlign w:val="bottom"/>
          </w:tcPr>
          <w:p w14:paraId="36CFAD52" w14:textId="77777777" w:rsidR="00C13497" w:rsidRDefault="00C13497"/>
        </w:tc>
      </w:tr>
      <w:tr w:rsidR="00C13497" w14:paraId="60A96D91" w14:textId="77777777">
        <w:trPr>
          <w:trHeight w:val="300"/>
        </w:trPr>
        <w:tc>
          <w:tcPr>
            <w:tcW w:w="7154" w:type="dxa"/>
            <w:gridSpan w:val="3"/>
            <w:shd w:val="clear" w:color="auto" w:fill="auto"/>
            <w:vAlign w:val="bottom"/>
          </w:tcPr>
          <w:p w14:paraId="1D62FC9C" w14:textId="77777777" w:rsidR="00C13497" w:rsidRDefault="003772CF">
            <w:pPr>
              <w:rPr>
                <w:b/>
                <w:bCs/>
                <w:color w:val="000000"/>
              </w:rPr>
            </w:pPr>
            <w:r>
              <w:rPr>
                <w:b/>
                <w:bCs/>
                <w:color w:val="000000"/>
              </w:rPr>
              <w:t>A- RESPECT DU CALENDRIER DE PAIEMENT (Date et horaire)</w:t>
            </w:r>
          </w:p>
        </w:tc>
        <w:tc>
          <w:tcPr>
            <w:tcW w:w="580" w:type="dxa"/>
            <w:shd w:val="clear" w:color="auto" w:fill="auto"/>
            <w:vAlign w:val="bottom"/>
          </w:tcPr>
          <w:p w14:paraId="7981BAF8" w14:textId="77777777" w:rsidR="00C13497" w:rsidRDefault="00C13497">
            <w:pPr>
              <w:rPr>
                <w:b/>
                <w:bCs/>
                <w:color w:val="000000"/>
              </w:rPr>
            </w:pPr>
          </w:p>
        </w:tc>
        <w:tc>
          <w:tcPr>
            <w:tcW w:w="771" w:type="dxa"/>
            <w:shd w:val="clear" w:color="auto" w:fill="auto"/>
            <w:vAlign w:val="bottom"/>
          </w:tcPr>
          <w:p w14:paraId="00EEB52F" w14:textId="77777777" w:rsidR="00C13497" w:rsidRDefault="00C13497"/>
        </w:tc>
      </w:tr>
      <w:tr w:rsidR="00C13497" w14:paraId="6B85CC04" w14:textId="77777777">
        <w:trPr>
          <w:trHeight w:val="300"/>
        </w:trPr>
        <w:tc>
          <w:tcPr>
            <w:tcW w:w="6120" w:type="dxa"/>
            <w:shd w:val="clear" w:color="auto" w:fill="auto"/>
            <w:vAlign w:val="bottom"/>
          </w:tcPr>
          <w:p w14:paraId="5EDD34EF" w14:textId="77777777" w:rsidR="00C13497" w:rsidRDefault="00C13497"/>
        </w:tc>
        <w:tc>
          <w:tcPr>
            <w:tcW w:w="517" w:type="dxa"/>
            <w:shd w:val="clear" w:color="auto" w:fill="auto"/>
            <w:vAlign w:val="bottom"/>
          </w:tcPr>
          <w:p w14:paraId="67449149" w14:textId="77777777" w:rsidR="00C13497" w:rsidRDefault="00C13497"/>
        </w:tc>
        <w:tc>
          <w:tcPr>
            <w:tcW w:w="517" w:type="dxa"/>
            <w:shd w:val="clear" w:color="auto" w:fill="auto"/>
            <w:vAlign w:val="bottom"/>
          </w:tcPr>
          <w:p w14:paraId="4C867CE7" w14:textId="77777777" w:rsidR="00C13497" w:rsidRDefault="00C13497"/>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E728C86" w14:textId="77777777" w:rsidR="00C13497" w:rsidRDefault="003772CF">
            <w:pPr>
              <w:rPr>
                <w:b/>
                <w:bCs/>
                <w:color w:val="000000"/>
              </w:rPr>
            </w:pPr>
            <w:r>
              <w:rPr>
                <w:b/>
                <w:bCs/>
                <w:color w:val="000000"/>
              </w:rPr>
              <w:t>NOTE FID</w:t>
            </w:r>
          </w:p>
        </w:tc>
      </w:tr>
      <w:tr w:rsidR="00C13497" w14:paraId="2947CF71"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bottom"/>
          </w:tcPr>
          <w:p w14:paraId="06F09F68" w14:textId="77777777" w:rsidR="00C13497" w:rsidRDefault="003772CF">
            <w:pPr>
              <w:rPr>
                <w:color w:val="000000"/>
              </w:rPr>
            </w:pPr>
            <w:r>
              <w:rPr>
                <w:color w:val="000000"/>
              </w:rPr>
              <w:t>Respect horaire et jour de paiement</w:t>
            </w:r>
          </w:p>
        </w:tc>
        <w:tc>
          <w:tcPr>
            <w:tcW w:w="580" w:type="dxa"/>
            <w:tcBorders>
              <w:left w:val="single" w:sz="4" w:space="0" w:color="000000"/>
              <w:bottom w:val="single" w:sz="4" w:space="0" w:color="000000"/>
            </w:tcBorders>
            <w:shd w:val="clear" w:color="auto" w:fill="auto"/>
            <w:vAlign w:val="center"/>
          </w:tcPr>
          <w:p w14:paraId="58200643"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bottom"/>
          </w:tcPr>
          <w:p w14:paraId="5F9D1BFE" w14:textId="77777777" w:rsidR="00C13497" w:rsidRDefault="003772CF">
            <w:pPr>
              <w:rPr>
                <w:color w:val="000000"/>
              </w:rPr>
            </w:pPr>
            <w:r>
              <w:rPr>
                <w:color w:val="000000"/>
              </w:rPr>
              <w:t>/4</w:t>
            </w:r>
          </w:p>
        </w:tc>
      </w:tr>
      <w:tr w:rsidR="00C13497" w14:paraId="087739FB" w14:textId="77777777">
        <w:trPr>
          <w:trHeight w:val="300"/>
        </w:trPr>
        <w:tc>
          <w:tcPr>
            <w:tcW w:w="6120" w:type="dxa"/>
            <w:shd w:val="clear" w:color="auto" w:fill="auto"/>
            <w:vAlign w:val="bottom"/>
          </w:tcPr>
          <w:p w14:paraId="42EDF8AB" w14:textId="77777777" w:rsidR="00C13497" w:rsidRDefault="00C13497">
            <w:pPr>
              <w:rPr>
                <w:color w:val="000000"/>
              </w:rPr>
            </w:pPr>
          </w:p>
        </w:tc>
        <w:tc>
          <w:tcPr>
            <w:tcW w:w="517" w:type="dxa"/>
            <w:shd w:val="clear" w:color="auto" w:fill="auto"/>
            <w:vAlign w:val="bottom"/>
          </w:tcPr>
          <w:p w14:paraId="3E699110" w14:textId="77777777" w:rsidR="00C13497" w:rsidRDefault="00C13497"/>
        </w:tc>
        <w:tc>
          <w:tcPr>
            <w:tcW w:w="517" w:type="dxa"/>
            <w:shd w:val="clear" w:color="auto" w:fill="auto"/>
            <w:vAlign w:val="bottom"/>
          </w:tcPr>
          <w:p w14:paraId="72EEDD97" w14:textId="77777777" w:rsidR="00C13497" w:rsidRDefault="00C13497"/>
        </w:tc>
        <w:tc>
          <w:tcPr>
            <w:tcW w:w="580" w:type="dxa"/>
            <w:tcBorders>
              <w:left w:val="single" w:sz="4" w:space="0" w:color="000000"/>
              <w:bottom w:val="single" w:sz="4" w:space="0" w:color="000000"/>
            </w:tcBorders>
            <w:shd w:val="clear" w:color="auto" w:fill="auto"/>
            <w:vAlign w:val="center"/>
          </w:tcPr>
          <w:p w14:paraId="50B7CE55" w14:textId="77777777" w:rsidR="00C13497" w:rsidRDefault="003772CF">
            <w:pPr>
              <w:rPr>
                <w:color w:val="000000"/>
              </w:rPr>
            </w:pPr>
            <w:r>
              <w:rPr>
                <w:color w:val="000000"/>
              </w:rPr>
              <w:t>0</w:t>
            </w:r>
          </w:p>
        </w:tc>
        <w:tc>
          <w:tcPr>
            <w:tcW w:w="771" w:type="dxa"/>
            <w:tcBorders>
              <w:bottom w:val="single" w:sz="4" w:space="0" w:color="000000"/>
              <w:right w:val="single" w:sz="4" w:space="0" w:color="000000"/>
            </w:tcBorders>
            <w:shd w:val="clear" w:color="auto" w:fill="auto"/>
            <w:vAlign w:val="bottom"/>
          </w:tcPr>
          <w:p w14:paraId="3673830C" w14:textId="77777777" w:rsidR="00C13497" w:rsidRDefault="003772CF">
            <w:pPr>
              <w:rPr>
                <w:b/>
                <w:bCs/>
                <w:color w:val="000000"/>
              </w:rPr>
            </w:pPr>
            <w:r>
              <w:rPr>
                <w:b/>
                <w:bCs/>
                <w:color w:val="000000"/>
              </w:rPr>
              <w:t>/4</w:t>
            </w:r>
          </w:p>
        </w:tc>
      </w:tr>
      <w:tr w:rsidR="00C13497" w14:paraId="25DB779F" w14:textId="77777777">
        <w:trPr>
          <w:trHeight w:val="300"/>
        </w:trPr>
        <w:tc>
          <w:tcPr>
            <w:tcW w:w="8505" w:type="dxa"/>
            <w:gridSpan w:val="5"/>
            <w:shd w:val="clear" w:color="auto" w:fill="auto"/>
            <w:vAlign w:val="bottom"/>
          </w:tcPr>
          <w:p w14:paraId="60F804C2" w14:textId="77777777" w:rsidR="00C13497" w:rsidRDefault="003772CF">
            <w:pPr>
              <w:rPr>
                <w:b/>
                <w:bCs/>
                <w:color w:val="000000"/>
              </w:rPr>
            </w:pPr>
            <w:r>
              <w:rPr>
                <w:b/>
                <w:bCs/>
                <w:color w:val="000000"/>
              </w:rPr>
              <w:t>B- QUALITE DE REALISATION DU TRANSFERT (Organisation, relation avec les bénéficiaires)</w:t>
            </w:r>
          </w:p>
        </w:tc>
      </w:tr>
      <w:tr w:rsidR="00C13497" w14:paraId="007BC3C5" w14:textId="77777777">
        <w:trPr>
          <w:trHeight w:val="300"/>
        </w:trPr>
        <w:tc>
          <w:tcPr>
            <w:tcW w:w="6120" w:type="dxa"/>
            <w:shd w:val="clear" w:color="auto" w:fill="auto"/>
            <w:vAlign w:val="bottom"/>
          </w:tcPr>
          <w:p w14:paraId="6F88CCE0" w14:textId="77777777" w:rsidR="00C13497" w:rsidRDefault="00C13497"/>
        </w:tc>
        <w:tc>
          <w:tcPr>
            <w:tcW w:w="517" w:type="dxa"/>
            <w:shd w:val="clear" w:color="auto" w:fill="auto"/>
            <w:vAlign w:val="bottom"/>
          </w:tcPr>
          <w:p w14:paraId="6E289D77" w14:textId="77777777" w:rsidR="00C13497" w:rsidRDefault="00C13497"/>
        </w:tc>
        <w:tc>
          <w:tcPr>
            <w:tcW w:w="517" w:type="dxa"/>
            <w:shd w:val="clear" w:color="auto" w:fill="auto"/>
            <w:vAlign w:val="bottom"/>
          </w:tcPr>
          <w:p w14:paraId="272DD43F" w14:textId="77777777" w:rsidR="00C13497" w:rsidRDefault="00C13497"/>
        </w:tc>
        <w:tc>
          <w:tcPr>
            <w:tcW w:w="1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42BA9" w14:textId="77777777" w:rsidR="00C13497" w:rsidRDefault="003772CF">
            <w:pPr>
              <w:rPr>
                <w:b/>
                <w:bCs/>
                <w:color w:val="000000"/>
              </w:rPr>
            </w:pPr>
            <w:r>
              <w:rPr>
                <w:b/>
                <w:bCs/>
                <w:color w:val="000000"/>
              </w:rPr>
              <w:t>NOTE FID</w:t>
            </w:r>
          </w:p>
        </w:tc>
      </w:tr>
      <w:tr w:rsidR="00C13497" w14:paraId="40EBBD5C" w14:textId="77777777">
        <w:trPr>
          <w:trHeight w:val="300"/>
        </w:trPr>
        <w:tc>
          <w:tcPr>
            <w:tcW w:w="7154" w:type="dxa"/>
            <w:gridSpan w:val="3"/>
            <w:shd w:val="clear" w:color="auto" w:fill="auto"/>
            <w:vAlign w:val="bottom"/>
          </w:tcPr>
          <w:p w14:paraId="27121A16" w14:textId="77777777" w:rsidR="00C13497" w:rsidRDefault="003772CF">
            <w:pPr>
              <w:rPr>
                <w:color w:val="000000"/>
              </w:rPr>
            </w:pPr>
            <w:r>
              <w:rPr>
                <w:color w:val="000000"/>
              </w:rPr>
              <w:t>Organisation et préparation du paiement</w:t>
            </w:r>
          </w:p>
        </w:tc>
        <w:tc>
          <w:tcPr>
            <w:tcW w:w="13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F7656" w14:textId="77777777" w:rsidR="00C13497" w:rsidRDefault="00C13497">
            <w:pPr>
              <w:rPr>
                <w:b/>
                <w:bCs/>
                <w:color w:val="000000"/>
              </w:rPr>
            </w:pPr>
          </w:p>
        </w:tc>
      </w:tr>
      <w:tr w:rsidR="00C13497" w14:paraId="6E96B989" w14:textId="77777777">
        <w:trPr>
          <w:trHeight w:val="750"/>
        </w:trPr>
        <w:tc>
          <w:tcPr>
            <w:tcW w:w="7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CC5B3F" w14:textId="77777777" w:rsidR="00C13497" w:rsidRDefault="003772CF">
            <w:pPr>
              <w:rPr>
                <w:color w:val="000000"/>
              </w:rPr>
            </w:pPr>
            <w:r>
              <w:rPr>
                <w:color w:val="000000"/>
              </w:rPr>
              <w:t>- Durée d'attente des bénéficiaires (retard de paiement et vitesse de traitement/bénéficiaire)</w:t>
            </w:r>
          </w:p>
        </w:tc>
        <w:tc>
          <w:tcPr>
            <w:tcW w:w="580" w:type="dxa"/>
            <w:tcBorders>
              <w:bottom w:val="single" w:sz="4" w:space="0" w:color="000000"/>
            </w:tcBorders>
            <w:shd w:val="clear" w:color="auto" w:fill="auto"/>
            <w:vAlign w:val="center"/>
          </w:tcPr>
          <w:p w14:paraId="70D55E25"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44899E9D" w14:textId="77777777" w:rsidR="00C13497" w:rsidRDefault="003772CF">
            <w:pPr>
              <w:rPr>
                <w:color w:val="000000"/>
              </w:rPr>
            </w:pPr>
            <w:r>
              <w:rPr>
                <w:color w:val="000000"/>
              </w:rPr>
              <w:t>/2</w:t>
            </w:r>
          </w:p>
        </w:tc>
      </w:tr>
      <w:tr w:rsidR="00C13497" w14:paraId="439B0BE4" w14:textId="77777777">
        <w:trPr>
          <w:trHeight w:val="675"/>
        </w:trPr>
        <w:tc>
          <w:tcPr>
            <w:tcW w:w="7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58A812" w14:textId="77777777" w:rsidR="00C13497" w:rsidRDefault="003772CF">
            <w:pPr>
              <w:rPr>
                <w:color w:val="000000"/>
              </w:rPr>
            </w:pPr>
            <w:r>
              <w:rPr>
                <w:color w:val="000000"/>
              </w:rPr>
              <w:t xml:space="preserve">- Adéquation des matériels logistiques (distributeur, état de paiement, salle, poste téléphonique, encreur, cachet, </w:t>
            </w:r>
            <w:proofErr w:type="gramStart"/>
            <w:r>
              <w:rPr>
                <w:color w:val="000000"/>
              </w:rPr>
              <w:t>stylo,…</w:t>
            </w:r>
            <w:proofErr w:type="gramEnd"/>
            <w:r>
              <w:rPr>
                <w:color w:val="000000"/>
              </w:rPr>
              <w:t>)</w:t>
            </w:r>
          </w:p>
        </w:tc>
        <w:tc>
          <w:tcPr>
            <w:tcW w:w="580" w:type="dxa"/>
            <w:tcBorders>
              <w:bottom w:val="single" w:sz="4" w:space="0" w:color="000000"/>
            </w:tcBorders>
            <w:shd w:val="clear" w:color="auto" w:fill="auto"/>
            <w:vAlign w:val="center"/>
          </w:tcPr>
          <w:p w14:paraId="0F347237"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6A0E59E1" w14:textId="77777777" w:rsidR="00C13497" w:rsidRDefault="003772CF">
            <w:pPr>
              <w:rPr>
                <w:color w:val="000000"/>
              </w:rPr>
            </w:pPr>
            <w:r>
              <w:rPr>
                <w:color w:val="000000"/>
              </w:rPr>
              <w:t>/2</w:t>
            </w:r>
          </w:p>
        </w:tc>
      </w:tr>
      <w:tr w:rsidR="00C13497" w14:paraId="4A8D999E"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2E240D09" w14:textId="77777777" w:rsidR="00C13497" w:rsidRDefault="003772CF">
            <w:pPr>
              <w:rPr>
                <w:color w:val="000000"/>
              </w:rPr>
            </w:pPr>
            <w:r>
              <w:rPr>
                <w:color w:val="000000"/>
              </w:rPr>
              <w:t xml:space="preserve">- Qualité de </w:t>
            </w:r>
            <w:proofErr w:type="gramStart"/>
            <w:r>
              <w:rPr>
                <w:color w:val="000000"/>
              </w:rPr>
              <w:t>traitement  des</w:t>
            </w:r>
            <w:proofErr w:type="gramEnd"/>
            <w:r>
              <w:rPr>
                <w:color w:val="000000"/>
              </w:rPr>
              <w:t xml:space="preserve"> bénéficiaires par les caissiers</w:t>
            </w:r>
          </w:p>
        </w:tc>
        <w:tc>
          <w:tcPr>
            <w:tcW w:w="517" w:type="dxa"/>
            <w:tcBorders>
              <w:bottom w:val="single" w:sz="4" w:space="0" w:color="000000"/>
              <w:right w:val="single" w:sz="4" w:space="0" w:color="000000"/>
            </w:tcBorders>
            <w:shd w:val="clear" w:color="auto" w:fill="auto"/>
            <w:vAlign w:val="bottom"/>
          </w:tcPr>
          <w:p w14:paraId="3814D8A1" w14:textId="77777777" w:rsidR="00C13497" w:rsidRDefault="003772CF">
            <w:pPr>
              <w:rPr>
                <w:color w:val="000000"/>
              </w:rPr>
            </w:pPr>
            <w:r>
              <w:rPr>
                <w:color w:val="000000"/>
              </w:rPr>
              <w:t> </w:t>
            </w:r>
          </w:p>
        </w:tc>
        <w:tc>
          <w:tcPr>
            <w:tcW w:w="517" w:type="dxa"/>
            <w:tcBorders>
              <w:bottom w:val="single" w:sz="4" w:space="0" w:color="000000"/>
              <w:right w:val="single" w:sz="4" w:space="0" w:color="000000"/>
            </w:tcBorders>
            <w:shd w:val="clear" w:color="auto" w:fill="auto"/>
            <w:vAlign w:val="bottom"/>
          </w:tcPr>
          <w:p w14:paraId="12C76179" w14:textId="77777777" w:rsidR="00C13497" w:rsidRDefault="003772CF">
            <w:pPr>
              <w:rPr>
                <w:color w:val="000000"/>
              </w:rPr>
            </w:pPr>
            <w:r>
              <w:rPr>
                <w:color w:val="000000"/>
              </w:rPr>
              <w:t> </w:t>
            </w:r>
          </w:p>
        </w:tc>
        <w:tc>
          <w:tcPr>
            <w:tcW w:w="580" w:type="dxa"/>
            <w:tcBorders>
              <w:bottom w:val="single" w:sz="4" w:space="0" w:color="000000"/>
            </w:tcBorders>
            <w:shd w:val="clear" w:color="auto" w:fill="auto"/>
            <w:vAlign w:val="center"/>
          </w:tcPr>
          <w:p w14:paraId="05F30F4A"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589E436D" w14:textId="77777777" w:rsidR="00C13497" w:rsidRDefault="003772CF">
            <w:pPr>
              <w:rPr>
                <w:color w:val="000000"/>
              </w:rPr>
            </w:pPr>
            <w:r>
              <w:rPr>
                <w:color w:val="000000"/>
              </w:rPr>
              <w:t>/2</w:t>
            </w:r>
          </w:p>
        </w:tc>
      </w:tr>
      <w:tr w:rsidR="00C13497" w14:paraId="15CD7E9A"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bottom"/>
          </w:tcPr>
          <w:p w14:paraId="354B2741" w14:textId="77777777" w:rsidR="00C13497" w:rsidRDefault="003772CF">
            <w:pPr>
              <w:rPr>
                <w:color w:val="000000"/>
              </w:rPr>
            </w:pPr>
            <w:r>
              <w:rPr>
                <w:color w:val="000000"/>
              </w:rPr>
              <w:t xml:space="preserve">-Respect du système prévu dans le contrat sur site </w:t>
            </w:r>
          </w:p>
        </w:tc>
        <w:tc>
          <w:tcPr>
            <w:tcW w:w="580" w:type="dxa"/>
            <w:tcBorders>
              <w:left w:val="single" w:sz="4" w:space="0" w:color="000000"/>
              <w:bottom w:val="single" w:sz="4" w:space="0" w:color="000000"/>
            </w:tcBorders>
            <w:shd w:val="clear" w:color="auto" w:fill="auto"/>
            <w:vAlign w:val="center"/>
          </w:tcPr>
          <w:p w14:paraId="1F2DAED3"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36988FB2" w14:textId="77777777" w:rsidR="00C13497" w:rsidRDefault="003772CF">
            <w:pPr>
              <w:rPr>
                <w:color w:val="000000"/>
              </w:rPr>
            </w:pPr>
            <w:r>
              <w:rPr>
                <w:color w:val="000000"/>
              </w:rPr>
              <w:t>/2</w:t>
            </w:r>
          </w:p>
        </w:tc>
      </w:tr>
      <w:tr w:rsidR="00C13497" w14:paraId="5D24C058" w14:textId="77777777">
        <w:trPr>
          <w:trHeight w:val="300"/>
        </w:trPr>
        <w:tc>
          <w:tcPr>
            <w:tcW w:w="6120" w:type="dxa"/>
            <w:shd w:val="clear" w:color="auto" w:fill="auto"/>
            <w:vAlign w:val="bottom"/>
          </w:tcPr>
          <w:p w14:paraId="077E92BF" w14:textId="77777777" w:rsidR="00C13497" w:rsidRDefault="00C13497">
            <w:pPr>
              <w:rPr>
                <w:color w:val="000000"/>
              </w:rPr>
            </w:pPr>
          </w:p>
        </w:tc>
        <w:tc>
          <w:tcPr>
            <w:tcW w:w="517" w:type="dxa"/>
            <w:shd w:val="clear" w:color="auto" w:fill="auto"/>
            <w:vAlign w:val="bottom"/>
          </w:tcPr>
          <w:p w14:paraId="1DD050BA" w14:textId="77777777" w:rsidR="00C13497" w:rsidRDefault="00C13497"/>
        </w:tc>
        <w:tc>
          <w:tcPr>
            <w:tcW w:w="517" w:type="dxa"/>
            <w:shd w:val="clear" w:color="auto" w:fill="auto"/>
            <w:vAlign w:val="bottom"/>
          </w:tcPr>
          <w:p w14:paraId="5BB5B0E8" w14:textId="77777777" w:rsidR="00C13497" w:rsidRDefault="00C13497"/>
        </w:tc>
        <w:tc>
          <w:tcPr>
            <w:tcW w:w="580" w:type="dxa"/>
            <w:tcBorders>
              <w:left w:val="single" w:sz="4" w:space="0" w:color="000000"/>
              <w:bottom w:val="single" w:sz="4" w:space="0" w:color="000000"/>
            </w:tcBorders>
            <w:shd w:val="clear" w:color="auto" w:fill="auto"/>
            <w:vAlign w:val="center"/>
          </w:tcPr>
          <w:p w14:paraId="64509D1B" w14:textId="77777777" w:rsidR="00C13497" w:rsidRDefault="003772CF">
            <w:pPr>
              <w:rPr>
                <w:color w:val="000000"/>
              </w:rPr>
            </w:pPr>
            <w:r>
              <w:rPr>
                <w:color w:val="000000"/>
              </w:rPr>
              <w:t>0</w:t>
            </w:r>
          </w:p>
        </w:tc>
        <w:tc>
          <w:tcPr>
            <w:tcW w:w="771" w:type="dxa"/>
            <w:tcBorders>
              <w:bottom w:val="single" w:sz="4" w:space="0" w:color="000000"/>
              <w:right w:val="single" w:sz="4" w:space="0" w:color="000000"/>
            </w:tcBorders>
            <w:shd w:val="clear" w:color="auto" w:fill="auto"/>
            <w:vAlign w:val="center"/>
          </w:tcPr>
          <w:p w14:paraId="03A7F313" w14:textId="77777777" w:rsidR="00C13497" w:rsidRDefault="003772CF">
            <w:pPr>
              <w:rPr>
                <w:b/>
                <w:bCs/>
                <w:color w:val="000000"/>
              </w:rPr>
            </w:pPr>
            <w:r>
              <w:rPr>
                <w:b/>
                <w:bCs/>
                <w:color w:val="000000"/>
              </w:rPr>
              <w:t>/8</w:t>
            </w:r>
          </w:p>
        </w:tc>
      </w:tr>
      <w:tr w:rsidR="00C13497" w14:paraId="1D7B382B" w14:textId="77777777">
        <w:trPr>
          <w:trHeight w:val="300"/>
        </w:trPr>
        <w:tc>
          <w:tcPr>
            <w:tcW w:w="7154" w:type="dxa"/>
            <w:gridSpan w:val="3"/>
            <w:shd w:val="clear" w:color="auto" w:fill="auto"/>
            <w:vAlign w:val="bottom"/>
          </w:tcPr>
          <w:p w14:paraId="65F3E2C2" w14:textId="77777777" w:rsidR="00C13497" w:rsidRDefault="003772CF">
            <w:pPr>
              <w:rPr>
                <w:b/>
                <w:bCs/>
                <w:color w:val="000000"/>
              </w:rPr>
            </w:pPr>
            <w:r>
              <w:rPr>
                <w:b/>
                <w:bCs/>
                <w:color w:val="000000"/>
              </w:rPr>
              <w:t>C- QUALITE DES RAPPORTS ET RESPECT DES CLAUSES CONTRACTUELLES</w:t>
            </w:r>
          </w:p>
        </w:tc>
        <w:tc>
          <w:tcPr>
            <w:tcW w:w="580" w:type="dxa"/>
            <w:shd w:val="clear" w:color="auto" w:fill="auto"/>
            <w:vAlign w:val="bottom"/>
          </w:tcPr>
          <w:p w14:paraId="584F10CE" w14:textId="77777777" w:rsidR="00C13497" w:rsidRDefault="00C13497">
            <w:pPr>
              <w:rPr>
                <w:b/>
                <w:bCs/>
                <w:color w:val="000000"/>
              </w:rPr>
            </w:pPr>
          </w:p>
        </w:tc>
        <w:tc>
          <w:tcPr>
            <w:tcW w:w="771" w:type="dxa"/>
            <w:shd w:val="clear" w:color="auto" w:fill="auto"/>
            <w:vAlign w:val="bottom"/>
          </w:tcPr>
          <w:p w14:paraId="6C4490FD" w14:textId="77777777" w:rsidR="00C13497" w:rsidRDefault="00C13497"/>
        </w:tc>
      </w:tr>
      <w:tr w:rsidR="00C13497" w14:paraId="301219A8" w14:textId="77777777">
        <w:trPr>
          <w:trHeight w:val="300"/>
        </w:trPr>
        <w:tc>
          <w:tcPr>
            <w:tcW w:w="6120" w:type="dxa"/>
            <w:shd w:val="clear" w:color="auto" w:fill="auto"/>
            <w:vAlign w:val="bottom"/>
          </w:tcPr>
          <w:p w14:paraId="1B267FA6" w14:textId="77777777" w:rsidR="00C13497" w:rsidRDefault="00C13497"/>
        </w:tc>
        <w:tc>
          <w:tcPr>
            <w:tcW w:w="517" w:type="dxa"/>
            <w:shd w:val="clear" w:color="auto" w:fill="auto"/>
            <w:vAlign w:val="bottom"/>
          </w:tcPr>
          <w:p w14:paraId="2EFBB55C" w14:textId="77777777" w:rsidR="00C13497" w:rsidRDefault="00C13497"/>
        </w:tc>
        <w:tc>
          <w:tcPr>
            <w:tcW w:w="517" w:type="dxa"/>
            <w:shd w:val="clear" w:color="auto" w:fill="auto"/>
            <w:vAlign w:val="bottom"/>
          </w:tcPr>
          <w:p w14:paraId="09694ACA" w14:textId="77777777" w:rsidR="00C13497" w:rsidRDefault="00C13497"/>
        </w:tc>
        <w:tc>
          <w:tcPr>
            <w:tcW w:w="1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66DBFC" w14:textId="77777777" w:rsidR="00C13497" w:rsidRDefault="003772CF">
            <w:pPr>
              <w:rPr>
                <w:b/>
                <w:bCs/>
                <w:color w:val="000000"/>
              </w:rPr>
            </w:pPr>
            <w:r>
              <w:rPr>
                <w:b/>
                <w:bCs/>
                <w:color w:val="000000"/>
              </w:rPr>
              <w:t>NOTE FID</w:t>
            </w:r>
          </w:p>
        </w:tc>
      </w:tr>
      <w:tr w:rsidR="00C13497" w14:paraId="51346A1F" w14:textId="77777777">
        <w:trPr>
          <w:trHeight w:val="300"/>
        </w:trPr>
        <w:tc>
          <w:tcPr>
            <w:tcW w:w="6120" w:type="dxa"/>
            <w:shd w:val="clear" w:color="auto" w:fill="auto"/>
            <w:vAlign w:val="bottom"/>
          </w:tcPr>
          <w:p w14:paraId="416F03F8" w14:textId="77777777" w:rsidR="00C13497" w:rsidRDefault="00C13497">
            <w:pPr>
              <w:rPr>
                <w:b/>
                <w:bCs/>
                <w:color w:val="000000"/>
              </w:rPr>
            </w:pPr>
          </w:p>
        </w:tc>
        <w:tc>
          <w:tcPr>
            <w:tcW w:w="517" w:type="dxa"/>
            <w:shd w:val="clear" w:color="auto" w:fill="auto"/>
            <w:vAlign w:val="bottom"/>
          </w:tcPr>
          <w:p w14:paraId="5AF814F0" w14:textId="77777777" w:rsidR="00C13497" w:rsidRDefault="00C13497"/>
        </w:tc>
        <w:tc>
          <w:tcPr>
            <w:tcW w:w="517" w:type="dxa"/>
            <w:shd w:val="clear" w:color="auto" w:fill="auto"/>
            <w:vAlign w:val="bottom"/>
          </w:tcPr>
          <w:p w14:paraId="7A481ED7" w14:textId="77777777" w:rsidR="00C13497" w:rsidRDefault="00C13497"/>
        </w:tc>
        <w:tc>
          <w:tcPr>
            <w:tcW w:w="1351" w:type="dxa"/>
            <w:gridSpan w:val="2"/>
            <w:vMerge/>
            <w:shd w:val="clear" w:color="auto" w:fill="auto"/>
            <w:vAlign w:val="center"/>
          </w:tcPr>
          <w:p w14:paraId="3BD40E46" w14:textId="77777777" w:rsidR="00C13497" w:rsidRDefault="00C13497">
            <w:pPr>
              <w:rPr>
                <w:b/>
                <w:bCs/>
                <w:color w:val="000000"/>
              </w:rPr>
            </w:pPr>
          </w:p>
        </w:tc>
      </w:tr>
      <w:tr w:rsidR="00C13497" w14:paraId="30D4F189" w14:textId="77777777">
        <w:trPr>
          <w:trHeight w:val="570"/>
        </w:trPr>
        <w:tc>
          <w:tcPr>
            <w:tcW w:w="7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D8072B" w14:textId="77777777" w:rsidR="00C13497" w:rsidRDefault="003772CF">
            <w:pPr>
              <w:rPr>
                <w:color w:val="000000"/>
              </w:rPr>
            </w:pPr>
            <w:r>
              <w:rPr>
                <w:color w:val="000000"/>
              </w:rPr>
              <w:t>- Respect du délai de livraison du Rapport intermédiaire /Rapport final</w:t>
            </w:r>
          </w:p>
        </w:tc>
        <w:tc>
          <w:tcPr>
            <w:tcW w:w="580" w:type="dxa"/>
            <w:tcBorders>
              <w:bottom w:val="single" w:sz="4" w:space="0" w:color="000000"/>
            </w:tcBorders>
            <w:shd w:val="clear" w:color="auto" w:fill="auto"/>
            <w:vAlign w:val="center"/>
          </w:tcPr>
          <w:p w14:paraId="1497E9A5"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22EB1D6F" w14:textId="77777777" w:rsidR="00C13497" w:rsidRDefault="003772CF">
            <w:pPr>
              <w:rPr>
                <w:color w:val="000000"/>
              </w:rPr>
            </w:pPr>
            <w:r>
              <w:rPr>
                <w:color w:val="000000"/>
              </w:rPr>
              <w:t>/2</w:t>
            </w:r>
          </w:p>
        </w:tc>
      </w:tr>
      <w:tr w:rsidR="00C13497" w14:paraId="14F7E12F"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center"/>
          </w:tcPr>
          <w:p w14:paraId="7442CFCF" w14:textId="77777777" w:rsidR="00C13497" w:rsidRDefault="003772CF">
            <w:pPr>
              <w:rPr>
                <w:color w:val="000000"/>
              </w:rPr>
            </w:pPr>
            <w:r>
              <w:rPr>
                <w:color w:val="000000"/>
              </w:rPr>
              <w:t>- Qualité du rapport (contenu, forme)</w:t>
            </w:r>
          </w:p>
        </w:tc>
        <w:tc>
          <w:tcPr>
            <w:tcW w:w="580" w:type="dxa"/>
            <w:tcBorders>
              <w:left w:val="single" w:sz="4" w:space="0" w:color="000000"/>
              <w:bottom w:val="single" w:sz="4" w:space="0" w:color="000000"/>
            </w:tcBorders>
            <w:shd w:val="clear" w:color="auto" w:fill="auto"/>
            <w:vAlign w:val="center"/>
          </w:tcPr>
          <w:p w14:paraId="422B3D7F"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0FE31060" w14:textId="77777777" w:rsidR="00C13497" w:rsidRDefault="003772CF">
            <w:pPr>
              <w:rPr>
                <w:color w:val="000000"/>
              </w:rPr>
            </w:pPr>
            <w:r>
              <w:rPr>
                <w:color w:val="000000"/>
              </w:rPr>
              <w:t>/2</w:t>
            </w:r>
          </w:p>
        </w:tc>
      </w:tr>
      <w:tr w:rsidR="00C13497" w14:paraId="1B4B87B7" w14:textId="77777777">
        <w:trPr>
          <w:trHeight w:val="300"/>
        </w:trPr>
        <w:tc>
          <w:tcPr>
            <w:tcW w:w="7154" w:type="dxa"/>
            <w:gridSpan w:val="3"/>
            <w:tcBorders>
              <w:top w:val="single" w:sz="4" w:space="0" w:color="000000"/>
              <w:left w:val="single" w:sz="4" w:space="0" w:color="000000"/>
              <w:bottom w:val="single" w:sz="4" w:space="0" w:color="000000"/>
            </w:tcBorders>
            <w:shd w:val="clear" w:color="auto" w:fill="auto"/>
            <w:vAlign w:val="center"/>
          </w:tcPr>
          <w:p w14:paraId="0486854B" w14:textId="066358AD" w:rsidR="00C13497" w:rsidRDefault="003772CF">
            <w:r>
              <w:rPr>
                <w:color w:val="000000"/>
              </w:rPr>
              <w:t xml:space="preserve">- Fréquence de retard du RI </w:t>
            </w:r>
            <w:proofErr w:type="gramStart"/>
            <w:r>
              <w:rPr>
                <w:color w:val="000000"/>
              </w:rPr>
              <w:t>et  RF</w:t>
            </w:r>
            <w:proofErr w:type="gramEnd"/>
          </w:p>
        </w:tc>
        <w:tc>
          <w:tcPr>
            <w:tcW w:w="580" w:type="dxa"/>
            <w:tcBorders>
              <w:left w:val="single" w:sz="4" w:space="0" w:color="000000"/>
              <w:bottom w:val="single" w:sz="4" w:space="0" w:color="000000"/>
            </w:tcBorders>
            <w:shd w:val="clear" w:color="auto" w:fill="auto"/>
            <w:vAlign w:val="center"/>
          </w:tcPr>
          <w:p w14:paraId="37B45115"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1B976D5F" w14:textId="77777777" w:rsidR="00C13497" w:rsidRDefault="003772CF">
            <w:pPr>
              <w:rPr>
                <w:color w:val="000000"/>
              </w:rPr>
            </w:pPr>
            <w:r>
              <w:rPr>
                <w:color w:val="000000"/>
              </w:rPr>
              <w:t>/2</w:t>
            </w:r>
          </w:p>
        </w:tc>
      </w:tr>
      <w:tr w:rsidR="00C13497" w14:paraId="328EA2FA" w14:textId="77777777">
        <w:trPr>
          <w:trHeight w:val="525"/>
        </w:trPr>
        <w:tc>
          <w:tcPr>
            <w:tcW w:w="7154" w:type="dxa"/>
            <w:gridSpan w:val="3"/>
            <w:tcBorders>
              <w:top w:val="single" w:sz="4" w:space="0" w:color="000000"/>
              <w:left w:val="single" w:sz="4" w:space="0" w:color="000000"/>
              <w:bottom w:val="single" w:sz="4" w:space="0" w:color="000000"/>
            </w:tcBorders>
            <w:shd w:val="clear" w:color="auto" w:fill="auto"/>
            <w:vAlign w:val="bottom"/>
          </w:tcPr>
          <w:p w14:paraId="3BA245C8" w14:textId="77777777" w:rsidR="00C13497" w:rsidRDefault="003772CF">
            <w:pPr>
              <w:rPr>
                <w:color w:val="000000"/>
              </w:rPr>
            </w:pPr>
            <w:r>
              <w:rPr>
                <w:color w:val="000000"/>
              </w:rPr>
              <w:t xml:space="preserve">- Respect des autres </w:t>
            </w:r>
            <w:proofErr w:type="gramStart"/>
            <w:r>
              <w:rPr>
                <w:color w:val="000000"/>
              </w:rPr>
              <w:t>clauses  contractuelles</w:t>
            </w:r>
            <w:proofErr w:type="gramEnd"/>
          </w:p>
        </w:tc>
        <w:tc>
          <w:tcPr>
            <w:tcW w:w="580" w:type="dxa"/>
            <w:tcBorders>
              <w:left w:val="single" w:sz="4" w:space="0" w:color="000000"/>
              <w:bottom w:val="single" w:sz="4" w:space="0" w:color="000000"/>
            </w:tcBorders>
            <w:shd w:val="clear" w:color="auto" w:fill="auto"/>
            <w:vAlign w:val="center"/>
          </w:tcPr>
          <w:p w14:paraId="5B5BDC60" w14:textId="77777777" w:rsidR="00C13497" w:rsidRDefault="003772CF">
            <w:pPr>
              <w:rPr>
                <w:color w:val="000000"/>
              </w:rPr>
            </w:pPr>
            <w:r>
              <w:rPr>
                <w:color w:val="000000"/>
              </w:rPr>
              <w:t> </w:t>
            </w:r>
          </w:p>
        </w:tc>
        <w:tc>
          <w:tcPr>
            <w:tcW w:w="771" w:type="dxa"/>
            <w:tcBorders>
              <w:bottom w:val="single" w:sz="4" w:space="0" w:color="000000"/>
              <w:right w:val="single" w:sz="4" w:space="0" w:color="000000"/>
            </w:tcBorders>
            <w:shd w:val="clear" w:color="auto" w:fill="auto"/>
            <w:vAlign w:val="center"/>
          </w:tcPr>
          <w:p w14:paraId="6E223D18" w14:textId="77777777" w:rsidR="00C13497" w:rsidRDefault="003772CF">
            <w:pPr>
              <w:rPr>
                <w:color w:val="000000"/>
              </w:rPr>
            </w:pPr>
            <w:r>
              <w:rPr>
                <w:color w:val="000000"/>
              </w:rPr>
              <w:t>/2</w:t>
            </w:r>
          </w:p>
        </w:tc>
      </w:tr>
      <w:tr w:rsidR="00C13497" w14:paraId="69423E63" w14:textId="77777777">
        <w:trPr>
          <w:trHeight w:val="300"/>
        </w:trPr>
        <w:tc>
          <w:tcPr>
            <w:tcW w:w="6120" w:type="dxa"/>
            <w:shd w:val="clear" w:color="auto" w:fill="auto"/>
            <w:vAlign w:val="bottom"/>
          </w:tcPr>
          <w:p w14:paraId="250F21F8" w14:textId="77777777" w:rsidR="00C13497" w:rsidRDefault="00C13497">
            <w:pPr>
              <w:rPr>
                <w:color w:val="000000"/>
              </w:rPr>
            </w:pPr>
          </w:p>
        </w:tc>
        <w:tc>
          <w:tcPr>
            <w:tcW w:w="517" w:type="dxa"/>
            <w:shd w:val="clear" w:color="auto" w:fill="auto"/>
            <w:vAlign w:val="bottom"/>
          </w:tcPr>
          <w:p w14:paraId="5096F611" w14:textId="77777777" w:rsidR="00C13497" w:rsidRDefault="00C13497"/>
        </w:tc>
        <w:tc>
          <w:tcPr>
            <w:tcW w:w="517" w:type="dxa"/>
            <w:shd w:val="clear" w:color="auto" w:fill="auto"/>
            <w:vAlign w:val="bottom"/>
          </w:tcPr>
          <w:p w14:paraId="4A6AD53F" w14:textId="77777777" w:rsidR="00C13497" w:rsidRDefault="00C13497"/>
        </w:tc>
        <w:tc>
          <w:tcPr>
            <w:tcW w:w="580" w:type="dxa"/>
            <w:tcBorders>
              <w:left w:val="single" w:sz="4" w:space="0" w:color="000000"/>
              <w:bottom w:val="single" w:sz="4" w:space="0" w:color="000000"/>
            </w:tcBorders>
            <w:shd w:val="clear" w:color="auto" w:fill="auto"/>
            <w:vAlign w:val="center"/>
          </w:tcPr>
          <w:p w14:paraId="7F83C160" w14:textId="77777777" w:rsidR="00C13497" w:rsidRDefault="003772CF">
            <w:pPr>
              <w:rPr>
                <w:color w:val="000000"/>
              </w:rPr>
            </w:pPr>
            <w:r>
              <w:rPr>
                <w:color w:val="000000"/>
              </w:rPr>
              <w:t>0</w:t>
            </w:r>
          </w:p>
        </w:tc>
        <w:tc>
          <w:tcPr>
            <w:tcW w:w="771" w:type="dxa"/>
            <w:tcBorders>
              <w:bottom w:val="single" w:sz="4" w:space="0" w:color="000000"/>
              <w:right w:val="single" w:sz="4" w:space="0" w:color="000000"/>
            </w:tcBorders>
            <w:shd w:val="clear" w:color="auto" w:fill="auto"/>
            <w:vAlign w:val="center"/>
          </w:tcPr>
          <w:p w14:paraId="7C9E8ADD" w14:textId="77777777" w:rsidR="00C13497" w:rsidRDefault="003772CF">
            <w:pPr>
              <w:rPr>
                <w:b/>
                <w:bCs/>
                <w:color w:val="000000"/>
              </w:rPr>
            </w:pPr>
            <w:r>
              <w:rPr>
                <w:b/>
                <w:bCs/>
                <w:color w:val="000000"/>
              </w:rPr>
              <w:t>/8</w:t>
            </w:r>
          </w:p>
        </w:tc>
      </w:tr>
      <w:tr w:rsidR="00C13497" w14:paraId="073201A0" w14:textId="77777777">
        <w:trPr>
          <w:trHeight w:val="300"/>
        </w:trPr>
        <w:tc>
          <w:tcPr>
            <w:tcW w:w="7154" w:type="dxa"/>
            <w:gridSpan w:val="3"/>
            <w:shd w:val="clear" w:color="auto" w:fill="auto"/>
            <w:vAlign w:val="bottom"/>
          </w:tcPr>
          <w:p w14:paraId="2D6050C8" w14:textId="77777777" w:rsidR="00C13497" w:rsidRDefault="003772CF">
            <w:pPr>
              <w:rPr>
                <w:b/>
                <w:bCs/>
                <w:color w:val="000000"/>
              </w:rPr>
            </w:pPr>
            <w:r>
              <w:rPr>
                <w:b/>
                <w:bCs/>
                <w:color w:val="000000"/>
                <w:u w:val="single"/>
              </w:rPr>
              <w:t xml:space="preserve">NOTE </w:t>
            </w:r>
            <w:proofErr w:type="gramStart"/>
            <w:r>
              <w:rPr>
                <w:b/>
                <w:bCs/>
                <w:color w:val="000000"/>
                <w:u w:val="single"/>
              </w:rPr>
              <w:t>2</w:t>
            </w:r>
            <w:r>
              <w:rPr>
                <w:b/>
                <w:bCs/>
                <w:color w:val="000000"/>
              </w:rPr>
              <w:t>:</w:t>
            </w:r>
            <w:proofErr w:type="gramEnd"/>
            <w:r>
              <w:rPr>
                <w:b/>
                <w:bCs/>
                <w:color w:val="000000"/>
              </w:rPr>
              <w:t xml:space="preserve"> SUR LE NOMBRE DES PLAINTES RECUES</w:t>
            </w:r>
          </w:p>
        </w:tc>
        <w:tc>
          <w:tcPr>
            <w:tcW w:w="580" w:type="dxa"/>
            <w:shd w:val="clear" w:color="auto" w:fill="auto"/>
            <w:vAlign w:val="bottom"/>
          </w:tcPr>
          <w:p w14:paraId="6307C2F3" w14:textId="77777777" w:rsidR="00C13497" w:rsidRDefault="00C13497">
            <w:pPr>
              <w:rPr>
                <w:b/>
                <w:bCs/>
                <w:color w:val="000000"/>
              </w:rPr>
            </w:pPr>
          </w:p>
        </w:tc>
        <w:tc>
          <w:tcPr>
            <w:tcW w:w="771" w:type="dxa"/>
            <w:shd w:val="clear" w:color="auto" w:fill="auto"/>
            <w:vAlign w:val="bottom"/>
          </w:tcPr>
          <w:p w14:paraId="3BCECA41" w14:textId="77777777" w:rsidR="00C13497" w:rsidRDefault="00C13497"/>
        </w:tc>
      </w:tr>
      <w:tr w:rsidR="00C13497" w14:paraId="6B7C7568" w14:textId="77777777">
        <w:trPr>
          <w:trHeight w:hRule="exact" w:val="300"/>
        </w:trPr>
        <w:tc>
          <w:tcPr>
            <w:tcW w:w="6120" w:type="dxa"/>
            <w:shd w:val="clear" w:color="auto" w:fill="auto"/>
            <w:vAlign w:val="bottom"/>
          </w:tcPr>
          <w:p w14:paraId="2474FAB8" w14:textId="77777777" w:rsidR="00C13497" w:rsidRDefault="00C13497"/>
        </w:tc>
        <w:tc>
          <w:tcPr>
            <w:tcW w:w="517" w:type="dxa"/>
            <w:shd w:val="clear" w:color="auto" w:fill="auto"/>
            <w:vAlign w:val="bottom"/>
          </w:tcPr>
          <w:p w14:paraId="36C32309" w14:textId="77777777" w:rsidR="00C13497" w:rsidRDefault="00C13497"/>
        </w:tc>
        <w:tc>
          <w:tcPr>
            <w:tcW w:w="517" w:type="dxa"/>
            <w:shd w:val="clear" w:color="auto" w:fill="auto"/>
            <w:vAlign w:val="bottom"/>
          </w:tcPr>
          <w:p w14:paraId="7723E0F7" w14:textId="77777777" w:rsidR="00C13497" w:rsidRDefault="00C13497"/>
        </w:tc>
        <w:tc>
          <w:tcPr>
            <w:tcW w:w="580" w:type="dxa"/>
            <w:shd w:val="clear" w:color="auto" w:fill="auto"/>
            <w:vAlign w:val="bottom"/>
          </w:tcPr>
          <w:p w14:paraId="367A559F" w14:textId="77777777" w:rsidR="00C13497" w:rsidRDefault="00C13497"/>
        </w:tc>
        <w:tc>
          <w:tcPr>
            <w:tcW w:w="771" w:type="dxa"/>
            <w:shd w:val="clear" w:color="auto" w:fill="auto"/>
            <w:vAlign w:val="bottom"/>
          </w:tcPr>
          <w:p w14:paraId="0E339233" w14:textId="77777777" w:rsidR="00C13497" w:rsidRDefault="00C13497"/>
        </w:tc>
      </w:tr>
      <w:tr w:rsidR="00C13497" w14:paraId="57EB6CE6" w14:textId="77777777">
        <w:trPr>
          <w:trHeight w:val="90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108B" w14:textId="77777777" w:rsidR="00C13497" w:rsidRDefault="003772CF">
            <w:pPr>
              <w:rPr>
                <w:b/>
                <w:bCs/>
                <w:color w:val="000000"/>
              </w:rPr>
            </w:pPr>
            <w:r>
              <w:rPr>
                <w:b/>
                <w:bCs/>
                <w:color w:val="000000"/>
              </w:rPr>
              <w:t>Nombre de plaintes (P) reçues par site</w:t>
            </w:r>
          </w:p>
        </w:tc>
        <w:tc>
          <w:tcPr>
            <w:tcW w:w="1034" w:type="dxa"/>
            <w:gridSpan w:val="2"/>
            <w:tcBorders>
              <w:top w:val="single" w:sz="4" w:space="0" w:color="000000"/>
              <w:bottom w:val="single" w:sz="4" w:space="0" w:color="000000"/>
              <w:right w:val="single" w:sz="4" w:space="0" w:color="000000"/>
            </w:tcBorders>
            <w:shd w:val="clear" w:color="auto" w:fill="auto"/>
            <w:vAlign w:val="center"/>
          </w:tcPr>
          <w:p w14:paraId="43D45E6A" w14:textId="77777777" w:rsidR="00C13497" w:rsidRDefault="003772CF">
            <w:pPr>
              <w:rPr>
                <w:b/>
                <w:bCs/>
                <w:color w:val="000000"/>
              </w:rPr>
            </w:pPr>
            <w:r>
              <w:rPr>
                <w:b/>
                <w:bCs/>
                <w:color w:val="000000"/>
              </w:rPr>
              <w:t>Notation</w:t>
            </w:r>
          </w:p>
        </w:tc>
        <w:tc>
          <w:tcPr>
            <w:tcW w:w="580" w:type="dxa"/>
            <w:shd w:val="clear" w:color="auto" w:fill="auto"/>
            <w:vAlign w:val="bottom"/>
          </w:tcPr>
          <w:p w14:paraId="4536F202" w14:textId="77777777" w:rsidR="00C13497" w:rsidRDefault="00C13497">
            <w:pPr>
              <w:rPr>
                <w:b/>
                <w:bCs/>
                <w:color w:val="000000"/>
              </w:rPr>
            </w:pPr>
          </w:p>
        </w:tc>
        <w:tc>
          <w:tcPr>
            <w:tcW w:w="771" w:type="dxa"/>
            <w:shd w:val="clear" w:color="auto" w:fill="auto"/>
            <w:vAlign w:val="bottom"/>
          </w:tcPr>
          <w:p w14:paraId="67EF06F9" w14:textId="77777777" w:rsidR="00C13497" w:rsidRDefault="00C13497"/>
        </w:tc>
      </w:tr>
      <w:tr w:rsidR="00C13497" w14:paraId="2C994282"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7DBDA9B7" w14:textId="77777777" w:rsidR="00C13497" w:rsidRDefault="003772CF">
            <w:pPr>
              <w:rPr>
                <w:color w:val="000000"/>
              </w:rPr>
            </w:pPr>
            <w:r>
              <w:rPr>
                <w:color w:val="000000"/>
              </w:rPr>
              <w:t>0 ≤ P ≤ 10</w:t>
            </w:r>
          </w:p>
        </w:tc>
        <w:tc>
          <w:tcPr>
            <w:tcW w:w="1034" w:type="dxa"/>
            <w:gridSpan w:val="2"/>
            <w:tcBorders>
              <w:top w:val="single" w:sz="4" w:space="0" w:color="000000"/>
              <w:bottom w:val="single" w:sz="4" w:space="0" w:color="000000"/>
              <w:right w:val="single" w:sz="4" w:space="0" w:color="000000"/>
            </w:tcBorders>
            <w:shd w:val="clear" w:color="auto" w:fill="auto"/>
            <w:vAlign w:val="bottom"/>
          </w:tcPr>
          <w:p w14:paraId="7024BC7A" w14:textId="77777777" w:rsidR="00C13497" w:rsidRDefault="003772CF">
            <w:pPr>
              <w:rPr>
                <w:b/>
                <w:bCs/>
                <w:color w:val="000000"/>
              </w:rPr>
            </w:pPr>
            <w:r>
              <w:rPr>
                <w:b/>
                <w:bCs/>
                <w:color w:val="000000"/>
              </w:rPr>
              <w:t>10</w:t>
            </w:r>
          </w:p>
        </w:tc>
        <w:tc>
          <w:tcPr>
            <w:tcW w:w="580" w:type="dxa"/>
            <w:shd w:val="clear" w:color="auto" w:fill="auto"/>
            <w:vAlign w:val="bottom"/>
          </w:tcPr>
          <w:p w14:paraId="4C5F7CD8" w14:textId="77777777" w:rsidR="00C13497" w:rsidRDefault="00C13497">
            <w:pPr>
              <w:rPr>
                <w:b/>
                <w:bCs/>
                <w:color w:val="000000"/>
              </w:rPr>
            </w:pPr>
          </w:p>
        </w:tc>
        <w:tc>
          <w:tcPr>
            <w:tcW w:w="771" w:type="dxa"/>
            <w:shd w:val="clear" w:color="auto" w:fill="auto"/>
            <w:vAlign w:val="bottom"/>
          </w:tcPr>
          <w:p w14:paraId="0645534C" w14:textId="77777777" w:rsidR="00C13497" w:rsidRDefault="00C13497"/>
        </w:tc>
      </w:tr>
      <w:tr w:rsidR="00C13497" w14:paraId="295802DB"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0E993C0A" w14:textId="77777777" w:rsidR="00C13497" w:rsidRDefault="003772CF">
            <w:pPr>
              <w:rPr>
                <w:color w:val="000000"/>
              </w:rPr>
            </w:pPr>
            <w:r>
              <w:rPr>
                <w:color w:val="000000"/>
              </w:rPr>
              <w:t>11 ≤ P ≤ 25</w:t>
            </w:r>
          </w:p>
        </w:tc>
        <w:tc>
          <w:tcPr>
            <w:tcW w:w="1034" w:type="dxa"/>
            <w:gridSpan w:val="2"/>
            <w:tcBorders>
              <w:top w:val="single" w:sz="4" w:space="0" w:color="000000"/>
              <w:bottom w:val="single" w:sz="4" w:space="0" w:color="000000"/>
              <w:right w:val="single" w:sz="4" w:space="0" w:color="000000"/>
            </w:tcBorders>
            <w:shd w:val="clear" w:color="auto" w:fill="auto"/>
            <w:vAlign w:val="bottom"/>
          </w:tcPr>
          <w:p w14:paraId="27A0F1B3" w14:textId="77777777" w:rsidR="00C13497" w:rsidRDefault="003772CF">
            <w:pPr>
              <w:rPr>
                <w:b/>
                <w:bCs/>
                <w:color w:val="000000"/>
              </w:rPr>
            </w:pPr>
            <w:r>
              <w:rPr>
                <w:b/>
                <w:bCs/>
                <w:color w:val="000000"/>
              </w:rPr>
              <w:t>5</w:t>
            </w:r>
          </w:p>
        </w:tc>
        <w:tc>
          <w:tcPr>
            <w:tcW w:w="580" w:type="dxa"/>
            <w:shd w:val="clear" w:color="auto" w:fill="auto"/>
            <w:vAlign w:val="bottom"/>
          </w:tcPr>
          <w:p w14:paraId="64651DFE" w14:textId="77777777" w:rsidR="00C13497" w:rsidRDefault="00C13497">
            <w:pPr>
              <w:rPr>
                <w:b/>
                <w:bCs/>
                <w:color w:val="000000"/>
              </w:rPr>
            </w:pPr>
          </w:p>
        </w:tc>
        <w:tc>
          <w:tcPr>
            <w:tcW w:w="771" w:type="dxa"/>
            <w:shd w:val="clear" w:color="auto" w:fill="auto"/>
            <w:vAlign w:val="bottom"/>
          </w:tcPr>
          <w:p w14:paraId="163C7B6F" w14:textId="77777777" w:rsidR="00C13497" w:rsidRDefault="00C13497"/>
        </w:tc>
      </w:tr>
      <w:tr w:rsidR="00C13497" w14:paraId="3D522739" w14:textId="77777777">
        <w:trPr>
          <w:trHeight w:val="300"/>
        </w:trPr>
        <w:tc>
          <w:tcPr>
            <w:tcW w:w="6120" w:type="dxa"/>
            <w:tcBorders>
              <w:left w:val="single" w:sz="4" w:space="0" w:color="000000"/>
              <w:bottom w:val="single" w:sz="4" w:space="0" w:color="000000"/>
              <w:right w:val="single" w:sz="4" w:space="0" w:color="000000"/>
            </w:tcBorders>
            <w:shd w:val="clear" w:color="auto" w:fill="auto"/>
            <w:vAlign w:val="center"/>
          </w:tcPr>
          <w:p w14:paraId="30724182" w14:textId="77777777" w:rsidR="00C13497" w:rsidRDefault="003772CF">
            <w:pPr>
              <w:rPr>
                <w:color w:val="000000"/>
              </w:rPr>
            </w:pPr>
            <w:r>
              <w:rPr>
                <w:color w:val="000000"/>
              </w:rPr>
              <w:lastRenderedPageBreak/>
              <w:t>P &gt; 25</w:t>
            </w:r>
          </w:p>
        </w:tc>
        <w:tc>
          <w:tcPr>
            <w:tcW w:w="1034" w:type="dxa"/>
            <w:gridSpan w:val="2"/>
            <w:tcBorders>
              <w:top w:val="single" w:sz="4" w:space="0" w:color="000000"/>
              <w:bottom w:val="single" w:sz="4" w:space="0" w:color="000000"/>
              <w:right w:val="single" w:sz="4" w:space="0" w:color="000000"/>
            </w:tcBorders>
            <w:shd w:val="clear" w:color="auto" w:fill="auto"/>
            <w:vAlign w:val="bottom"/>
          </w:tcPr>
          <w:p w14:paraId="2A47E9AD" w14:textId="77777777" w:rsidR="00C13497" w:rsidRDefault="003772CF">
            <w:pPr>
              <w:rPr>
                <w:b/>
                <w:bCs/>
                <w:color w:val="000000"/>
              </w:rPr>
            </w:pPr>
            <w:r>
              <w:rPr>
                <w:b/>
                <w:bCs/>
                <w:color w:val="000000"/>
              </w:rPr>
              <w:t>0</w:t>
            </w:r>
          </w:p>
        </w:tc>
        <w:tc>
          <w:tcPr>
            <w:tcW w:w="580" w:type="dxa"/>
            <w:shd w:val="clear" w:color="auto" w:fill="auto"/>
            <w:vAlign w:val="bottom"/>
          </w:tcPr>
          <w:p w14:paraId="23DC5656" w14:textId="77777777" w:rsidR="00C13497" w:rsidRDefault="00C13497">
            <w:pPr>
              <w:rPr>
                <w:b/>
                <w:bCs/>
                <w:color w:val="000000"/>
              </w:rPr>
            </w:pPr>
          </w:p>
        </w:tc>
        <w:tc>
          <w:tcPr>
            <w:tcW w:w="771" w:type="dxa"/>
            <w:shd w:val="clear" w:color="auto" w:fill="auto"/>
            <w:vAlign w:val="bottom"/>
          </w:tcPr>
          <w:p w14:paraId="56E8D577" w14:textId="77777777" w:rsidR="00C13497" w:rsidRDefault="00C13497"/>
        </w:tc>
      </w:tr>
    </w:tbl>
    <w:p w14:paraId="13B78C41" w14:textId="77777777" w:rsidR="00C13497" w:rsidRDefault="00C13497">
      <w:pPr>
        <w:shd w:val="clear" w:color="auto" w:fill="FFFFFF" w:themeFill="background1"/>
      </w:pPr>
    </w:p>
    <w:p w14:paraId="038C453A" w14:textId="77777777" w:rsidR="00C13497" w:rsidRDefault="003772CF">
      <w:pPr>
        <w:shd w:val="clear" w:color="auto" w:fill="FFFFFF" w:themeFill="background1"/>
        <w:ind w:right="567"/>
      </w:pPr>
      <w:r>
        <w:rPr>
          <w:sz w:val="22"/>
          <w:szCs w:val="22"/>
        </w:rPr>
        <w:t xml:space="preserve">La somme des notes obtenues par une agence de paiement </w:t>
      </w:r>
      <w:r>
        <w:rPr>
          <w:b/>
          <w:sz w:val="22"/>
          <w:szCs w:val="22"/>
        </w:rPr>
        <w:t>N = N1 + N2 va de 0 à 30</w:t>
      </w:r>
      <w:r>
        <w:rPr>
          <w:sz w:val="22"/>
          <w:szCs w:val="22"/>
        </w:rPr>
        <w:t>. Le classement et l'appréciation se feront suivant les intervalles de </w:t>
      </w:r>
    </w:p>
    <w:p w14:paraId="37486A9B" w14:textId="77777777" w:rsidR="00C13497" w:rsidRDefault="00C13497">
      <w:pPr>
        <w:shd w:val="clear" w:color="auto" w:fill="FFFFFF" w:themeFill="background1"/>
        <w:ind w:right="567"/>
      </w:pPr>
    </w:p>
    <w:tbl>
      <w:tblPr>
        <w:tblW w:w="7380" w:type="dxa"/>
        <w:tblCellMar>
          <w:left w:w="70" w:type="dxa"/>
          <w:right w:w="70" w:type="dxa"/>
        </w:tblCellMar>
        <w:tblLook w:val="04A0" w:firstRow="1" w:lastRow="0" w:firstColumn="1" w:lastColumn="0" w:noHBand="0" w:noVBand="1"/>
      </w:tblPr>
      <w:tblGrid>
        <w:gridCol w:w="3055"/>
        <w:gridCol w:w="1994"/>
        <w:gridCol w:w="2331"/>
      </w:tblGrid>
      <w:tr w:rsidR="00C13497" w14:paraId="47CCCFC2" w14:textId="77777777">
        <w:trPr>
          <w:trHeight w:val="375"/>
        </w:trPr>
        <w:tc>
          <w:tcPr>
            <w:tcW w:w="7380" w:type="dxa"/>
            <w:gridSpan w:val="3"/>
            <w:shd w:val="clear" w:color="auto" w:fill="auto"/>
            <w:vAlign w:val="bottom"/>
          </w:tcPr>
          <w:p w14:paraId="702EA069" w14:textId="77777777" w:rsidR="00C13497" w:rsidRDefault="003772CF">
            <w:r>
              <w:rPr>
                <w:b/>
                <w:bCs/>
                <w:color w:val="000000"/>
                <w:u w:val="single"/>
              </w:rPr>
              <w:t>APPRECIATION</w:t>
            </w:r>
          </w:p>
        </w:tc>
      </w:tr>
      <w:tr w:rsidR="00C13497" w14:paraId="649AFC91"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B29CF" w14:textId="77777777" w:rsidR="00C13497" w:rsidRDefault="003772CF">
            <w:pPr>
              <w:rPr>
                <w:b/>
                <w:bCs/>
                <w:color w:val="000000"/>
              </w:rPr>
            </w:pPr>
            <w:r>
              <w:rPr>
                <w:b/>
                <w:bCs/>
                <w:color w:val="000000"/>
              </w:rPr>
              <w:t>NOTE N</w:t>
            </w:r>
          </w:p>
        </w:tc>
        <w:tc>
          <w:tcPr>
            <w:tcW w:w="1884" w:type="dxa"/>
            <w:tcBorders>
              <w:top w:val="single" w:sz="4" w:space="0" w:color="000000"/>
              <w:bottom w:val="single" w:sz="4" w:space="0" w:color="000000"/>
              <w:right w:val="single" w:sz="4" w:space="0" w:color="000000"/>
            </w:tcBorders>
            <w:shd w:val="clear" w:color="auto" w:fill="auto"/>
            <w:vAlign w:val="bottom"/>
          </w:tcPr>
          <w:p w14:paraId="398FA5FE" w14:textId="77777777" w:rsidR="00C13497" w:rsidRDefault="003772CF">
            <w:pPr>
              <w:rPr>
                <w:b/>
                <w:bCs/>
                <w:color w:val="000000"/>
              </w:rPr>
            </w:pPr>
            <w:r>
              <w:rPr>
                <w:b/>
                <w:bCs/>
                <w:color w:val="000000"/>
              </w:rPr>
              <w:t>APPRECIATION</w:t>
            </w:r>
          </w:p>
        </w:tc>
        <w:tc>
          <w:tcPr>
            <w:tcW w:w="2361" w:type="dxa"/>
            <w:tcBorders>
              <w:top w:val="single" w:sz="4" w:space="0" w:color="000000"/>
              <w:bottom w:val="single" w:sz="4" w:space="0" w:color="000000"/>
              <w:right w:val="single" w:sz="4" w:space="0" w:color="000000"/>
            </w:tcBorders>
            <w:shd w:val="clear" w:color="auto" w:fill="auto"/>
            <w:vAlign w:val="bottom"/>
          </w:tcPr>
          <w:p w14:paraId="56DFD92A" w14:textId="77777777" w:rsidR="00C13497" w:rsidRDefault="003772CF">
            <w:pPr>
              <w:rPr>
                <w:b/>
                <w:bCs/>
                <w:color w:val="000000"/>
              </w:rPr>
            </w:pPr>
            <w:r>
              <w:rPr>
                <w:b/>
                <w:bCs/>
                <w:color w:val="000000"/>
              </w:rPr>
              <w:t>Mesure</w:t>
            </w:r>
          </w:p>
        </w:tc>
      </w:tr>
      <w:tr w:rsidR="00C13497" w14:paraId="1FD64F4A" w14:textId="77777777">
        <w:trPr>
          <w:trHeight w:val="615"/>
        </w:trPr>
        <w:tc>
          <w:tcPr>
            <w:tcW w:w="3135" w:type="dxa"/>
            <w:tcBorders>
              <w:left w:val="single" w:sz="4" w:space="0" w:color="000000"/>
              <w:bottom w:val="single" w:sz="4" w:space="0" w:color="000000"/>
              <w:right w:val="single" w:sz="4" w:space="0" w:color="000000"/>
            </w:tcBorders>
            <w:shd w:val="clear" w:color="auto" w:fill="auto"/>
            <w:vAlign w:val="center"/>
          </w:tcPr>
          <w:p w14:paraId="28D83E7D" w14:textId="77777777" w:rsidR="00C13497" w:rsidRDefault="003772CF">
            <w:pPr>
              <w:rPr>
                <w:color w:val="000000"/>
              </w:rPr>
            </w:pPr>
            <w:r>
              <w:rPr>
                <w:color w:val="000000"/>
              </w:rPr>
              <w:t>0 à 9</w:t>
            </w:r>
          </w:p>
        </w:tc>
        <w:tc>
          <w:tcPr>
            <w:tcW w:w="1884" w:type="dxa"/>
            <w:tcBorders>
              <w:top w:val="single" w:sz="4" w:space="0" w:color="000000"/>
              <w:bottom w:val="single" w:sz="4" w:space="0" w:color="000000"/>
              <w:right w:val="single" w:sz="4" w:space="0" w:color="000000"/>
            </w:tcBorders>
            <w:shd w:val="clear" w:color="auto" w:fill="auto"/>
            <w:vAlign w:val="center"/>
          </w:tcPr>
          <w:p w14:paraId="0AE205E6" w14:textId="77777777" w:rsidR="00C13497" w:rsidRDefault="003772CF">
            <w:pPr>
              <w:rPr>
                <w:color w:val="000000"/>
              </w:rPr>
            </w:pPr>
            <w:r>
              <w:rPr>
                <w:color w:val="000000"/>
              </w:rPr>
              <w:t>Performance insuffisante</w:t>
            </w:r>
          </w:p>
        </w:tc>
        <w:tc>
          <w:tcPr>
            <w:tcW w:w="2361" w:type="dxa"/>
            <w:tcBorders>
              <w:bottom w:val="single" w:sz="4" w:space="0" w:color="000000"/>
              <w:right w:val="single" w:sz="4" w:space="0" w:color="000000"/>
            </w:tcBorders>
            <w:shd w:val="clear" w:color="auto" w:fill="auto"/>
            <w:vAlign w:val="center"/>
          </w:tcPr>
          <w:p w14:paraId="1C08FCC8" w14:textId="77777777" w:rsidR="00C13497" w:rsidRDefault="003772CF">
            <w:pPr>
              <w:rPr>
                <w:color w:val="000000"/>
              </w:rPr>
            </w:pPr>
            <w:r>
              <w:rPr>
                <w:color w:val="000000"/>
              </w:rPr>
              <w:t>Contrat non reconduit</w:t>
            </w:r>
          </w:p>
        </w:tc>
      </w:tr>
      <w:tr w:rsidR="00C13497" w14:paraId="14378538" w14:textId="77777777">
        <w:trPr>
          <w:trHeight w:val="1290"/>
        </w:trPr>
        <w:tc>
          <w:tcPr>
            <w:tcW w:w="3135" w:type="dxa"/>
            <w:tcBorders>
              <w:left w:val="single" w:sz="4" w:space="0" w:color="000000"/>
              <w:bottom w:val="single" w:sz="4" w:space="0" w:color="000000"/>
              <w:right w:val="single" w:sz="4" w:space="0" w:color="000000"/>
            </w:tcBorders>
            <w:shd w:val="clear" w:color="auto" w:fill="auto"/>
            <w:vAlign w:val="center"/>
          </w:tcPr>
          <w:p w14:paraId="7BAC7A0F" w14:textId="77777777" w:rsidR="00C13497" w:rsidRDefault="003772CF">
            <w:pPr>
              <w:rPr>
                <w:color w:val="000000"/>
              </w:rPr>
            </w:pPr>
            <w:r>
              <w:rPr>
                <w:color w:val="000000"/>
              </w:rPr>
              <w:t>10 à 19</w:t>
            </w:r>
          </w:p>
        </w:tc>
        <w:tc>
          <w:tcPr>
            <w:tcW w:w="1884" w:type="dxa"/>
            <w:tcBorders>
              <w:top w:val="single" w:sz="4" w:space="0" w:color="000000"/>
              <w:bottom w:val="single" w:sz="4" w:space="0" w:color="000000"/>
              <w:right w:val="single" w:sz="4" w:space="0" w:color="000000"/>
            </w:tcBorders>
            <w:shd w:val="clear" w:color="auto" w:fill="auto"/>
            <w:vAlign w:val="center"/>
          </w:tcPr>
          <w:p w14:paraId="22D389C9" w14:textId="77777777" w:rsidR="00C13497" w:rsidRDefault="003772CF">
            <w:pPr>
              <w:rPr>
                <w:color w:val="000000"/>
              </w:rPr>
            </w:pPr>
            <w:r>
              <w:rPr>
                <w:color w:val="000000"/>
              </w:rPr>
              <w:t>Performance moyenne</w:t>
            </w:r>
          </w:p>
        </w:tc>
        <w:tc>
          <w:tcPr>
            <w:tcW w:w="2361" w:type="dxa"/>
            <w:tcBorders>
              <w:bottom w:val="single" w:sz="4" w:space="0" w:color="000000"/>
              <w:right w:val="single" w:sz="4" w:space="0" w:color="000000"/>
            </w:tcBorders>
            <w:shd w:val="clear" w:color="auto" w:fill="auto"/>
            <w:vAlign w:val="center"/>
          </w:tcPr>
          <w:p w14:paraId="2859B312" w14:textId="77777777" w:rsidR="00C13497" w:rsidRDefault="003772CF">
            <w:pPr>
              <w:rPr>
                <w:color w:val="000000"/>
              </w:rPr>
            </w:pPr>
            <w:r>
              <w:rPr>
                <w:color w:val="000000"/>
              </w:rPr>
              <w:t>Reconduction avec des mesures de suivi plus rapprochées</w:t>
            </w:r>
          </w:p>
        </w:tc>
      </w:tr>
      <w:tr w:rsidR="00C13497" w14:paraId="4DE0A726" w14:textId="77777777">
        <w:trPr>
          <w:trHeight w:val="735"/>
        </w:trPr>
        <w:tc>
          <w:tcPr>
            <w:tcW w:w="3135" w:type="dxa"/>
            <w:tcBorders>
              <w:left w:val="single" w:sz="4" w:space="0" w:color="000000"/>
              <w:bottom w:val="single" w:sz="4" w:space="0" w:color="000000"/>
              <w:right w:val="single" w:sz="4" w:space="0" w:color="000000"/>
            </w:tcBorders>
            <w:shd w:val="clear" w:color="auto" w:fill="auto"/>
            <w:vAlign w:val="center"/>
          </w:tcPr>
          <w:p w14:paraId="30FE7A5B" w14:textId="77777777" w:rsidR="00C13497" w:rsidRDefault="003772CF">
            <w:pPr>
              <w:rPr>
                <w:color w:val="000000"/>
              </w:rPr>
            </w:pPr>
            <w:r>
              <w:rPr>
                <w:color w:val="000000"/>
              </w:rPr>
              <w:t>20 à 30</w:t>
            </w:r>
          </w:p>
        </w:tc>
        <w:tc>
          <w:tcPr>
            <w:tcW w:w="1884" w:type="dxa"/>
            <w:tcBorders>
              <w:top w:val="single" w:sz="4" w:space="0" w:color="000000"/>
              <w:bottom w:val="single" w:sz="4" w:space="0" w:color="000000"/>
              <w:right w:val="single" w:sz="4" w:space="0" w:color="000000"/>
            </w:tcBorders>
            <w:shd w:val="clear" w:color="auto" w:fill="auto"/>
            <w:vAlign w:val="center"/>
          </w:tcPr>
          <w:p w14:paraId="2DA8B3B3" w14:textId="77777777" w:rsidR="00C13497" w:rsidRDefault="003772CF">
            <w:pPr>
              <w:rPr>
                <w:color w:val="000000"/>
              </w:rPr>
            </w:pPr>
            <w:r>
              <w:rPr>
                <w:color w:val="000000"/>
              </w:rPr>
              <w:t>Bonne performance</w:t>
            </w:r>
          </w:p>
        </w:tc>
        <w:tc>
          <w:tcPr>
            <w:tcW w:w="2361" w:type="dxa"/>
            <w:tcBorders>
              <w:bottom w:val="single" w:sz="4" w:space="0" w:color="000000"/>
              <w:right w:val="single" w:sz="4" w:space="0" w:color="000000"/>
            </w:tcBorders>
            <w:shd w:val="clear" w:color="auto" w:fill="auto"/>
            <w:vAlign w:val="center"/>
          </w:tcPr>
          <w:p w14:paraId="3C02AE2C" w14:textId="77777777" w:rsidR="00C13497" w:rsidRDefault="003772CF">
            <w:pPr>
              <w:rPr>
                <w:color w:val="000000"/>
              </w:rPr>
            </w:pPr>
            <w:r>
              <w:rPr>
                <w:color w:val="000000"/>
              </w:rPr>
              <w:t>Reconduction</w:t>
            </w:r>
          </w:p>
        </w:tc>
      </w:tr>
    </w:tbl>
    <w:p w14:paraId="3E793C7D" w14:textId="77777777" w:rsidR="00C13497" w:rsidRDefault="00C13497">
      <w:pPr>
        <w:shd w:val="clear" w:color="auto" w:fill="FFFFFF" w:themeFill="background1"/>
        <w:ind w:right="567"/>
      </w:pPr>
    </w:p>
    <w:p w14:paraId="4C125F87" w14:textId="77777777" w:rsidR="00C13497" w:rsidRDefault="003772CF">
      <w:pPr>
        <w:pStyle w:val="Paragraphedeliste"/>
        <w:numPr>
          <w:ilvl w:val="0"/>
          <w:numId w:val="4"/>
        </w:numPr>
        <w:shd w:val="clear" w:color="auto" w:fill="FFFFFF" w:themeFill="background1"/>
        <w:spacing w:after="0" w:line="240" w:lineRule="auto"/>
        <w:ind w:left="0" w:right="567" w:firstLine="0"/>
        <w:jc w:val="both"/>
        <w:rPr>
          <w:rFonts w:ascii="Times New Roman" w:hAnsi="Times New Roman"/>
          <w:b/>
          <w:sz w:val="24"/>
          <w:szCs w:val="24"/>
          <w:lang w:val="fr-FR"/>
        </w:rPr>
      </w:pPr>
      <w:r>
        <w:rPr>
          <w:rFonts w:ascii="Times New Roman" w:hAnsi="Times New Roman"/>
          <w:b/>
          <w:sz w:val="24"/>
          <w:szCs w:val="24"/>
          <w:lang w:val="fr-FR"/>
        </w:rPr>
        <w:t>Durée du mandat</w:t>
      </w:r>
    </w:p>
    <w:p w14:paraId="77E788E5" w14:textId="77777777" w:rsidR="00C13497" w:rsidRDefault="00C13497">
      <w:pPr>
        <w:shd w:val="clear" w:color="auto" w:fill="FFFFFF" w:themeFill="background1"/>
        <w:ind w:right="567"/>
      </w:pPr>
    </w:p>
    <w:p w14:paraId="087BA4A4" w14:textId="77777777" w:rsidR="00C13497" w:rsidRDefault="003772CF">
      <w:pPr>
        <w:shd w:val="clear" w:color="auto" w:fill="FFFFFF" w:themeFill="background1"/>
      </w:pPr>
      <w:r>
        <w:t>La durée du mandat est de 1 an. La rupture du contrat peut être décidée par les deux parties.</w:t>
      </w:r>
    </w:p>
    <w:p w14:paraId="0A67ED57" w14:textId="77777777" w:rsidR="00C13497" w:rsidRDefault="00C13497">
      <w:pPr>
        <w:shd w:val="clear" w:color="auto" w:fill="FFFFFF" w:themeFill="background1"/>
        <w:ind w:right="567"/>
      </w:pPr>
    </w:p>
    <w:p w14:paraId="5008DA34" w14:textId="77777777" w:rsidR="00C13497" w:rsidRDefault="00C13497">
      <w:pPr>
        <w:shd w:val="clear" w:color="auto" w:fill="FFFFFF" w:themeFill="background1"/>
        <w:ind w:right="567"/>
      </w:pPr>
    </w:p>
    <w:p w14:paraId="7EA7CE2F" w14:textId="77777777" w:rsidR="00C13497" w:rsidRDefault="00C13497">
      <w:pPr>
        <w:shd w:val="clear" w:color="auto" w:fill="FFFFFF" w:themeFill="background1"/>
        <w:ind w:right="567"/>
      </w:pPr>
    </w:p>
    <w:p w14:paraId="069DE45A" w14:textId="77777777" w:rsidR="00C13497" w:rsidRDefault="003772CF">
      <w:pPr>
        <w:pStyle w:val="Paragraphedeliste"/>
        <w:numPr>
          <w:ilvl w:val="0"/>
          <w:numId w:val="4"/>
        </w:numPr>
        <w:shd w:val="clear" w:color="auto" w:fill="FFFFFF" w:themeFill="background1"/>
        <w:spacing w:after="0" w:line="240" w:lineRule="auto"/>
        <w:ind w:left="0" w:right="567" w:firstLine="0"/>
        <w:jc w:val="both"/>
        <w:rPr>
          <w:rFonts w:ascii="Times New Roman" w:hAnsi="Times New Roman"/>
          <w:b/>
          <w:sz w:val="24"/>
          <w:szCs w:val="24"/>
          <w:lang w:val="fr-FR"/>
        </w:rPr>
      </w:pPr>
      <w:r>
        <w:rPr>
          <w:rFonts w:ascii="Times New Roman" w:hAnsi="Times New Roman"/>
          <w:b/>
          <w:sz w:val="24"/>
          <w:szCs w:val="24"/>
          <w:lang w:val="fr-FR"/>
        </w:rPr>
        <w:t>Services à fournir par le FID :</w:t>
      </w:r>
    </w:p>
    <w:p w14:paraId="724E0D29" w14:textId="77777777" w:rsidR="00C13497" w:rsidRDefault="00C13497">
      <w:pPr>
        <w:shd w:val="clear" w:color="auto" w:fill="FFFFFF" w:themeFill="background1"/>
        <w:ind w:right="567"/>
      </w:pPr>
    </w:p>
    <w:p w14:paraId="375BCE23" w14:textId="77777777" w:rsidR="00C13497" w:rsidRDefault="003772CF">
      <w:pPr>
        <w:pStyle w:val="Paragraphedeliste"/>
        <w:numPr>
          <w:ilvl w:val="0"/>
          <w:numId w:val="8"/>
        </w:numPr>
        <w:shd w:val="clear" w:color="auto" w:fill="FFFFFF" w:themeFill="background1"/>
        <w:spacing w:after="0" w:line="240" w:lineRule="auto"/>
        <w:ind w:left="567" w:hanging="567"/>
        <w:jc w:val="both"/>
        <w:rPr>
          <w:rFonts w:ascii="Times New Roman" w:hAnsi="Times New Roman"/>
          <w:sz w:val="24"/>
          <w:szCs w:val="24"/>
          <w:lang w:val="fr-FR"/>
        </w:rPr>
      </w:pPr>
      <w:r>
        <w:rPr>
          <w:rFonts w:ascii="Times New Roman" w:hAnsi="Times New Roman"/>
          <w:sz w:val="24"/>
          <w:szCs w:val="24"/>
          <w:lang w:val="fr-FR"/>
        </w:rPr>
        <w:t xml:space="preserve">Le FID s'engage à fournir une carte du </w:t>
      </w:r>
      <w:proofErr w:type="gramStart"/>
      <w:r>
        <w:rPr>
          <w:rFonts w:ascii="Times New Roman" w:hAnsi="Times New Roman"/>
          <w:sz w:val="24"/>
          <w:szCs w:val="24"/>
          <w:lang w:val="fr-FR"/>
        </w:rPr>
        <w:t xml:space="preserve">projet  </w:t>
      </w:r>
      <w:r>
        <w:rPr>
          <w:rFonts w:ascii="Times New Roman" w:eastAsia="Times New Roman" w:hAnsi="Times New Roman"/>
          <w:sz w:val="24"/>
          <w:szCs w:val="24"/>
          <w:lang w:val="fr-FR" w:eastAsia="fr-FR"/>
        </w:rPr>
        <w:t>appelée</w:t>
      </w:r>
      <w:proofErr w:type="gramEnd"/>
      <w:r>
        <w:rPr>
          <w:rFonts w:ascii="Times New Roman" w:hAnsi="Times New Roman"/>
          <w:sz w:val="24"/>
          <w:szCs w:val="24"/>
          <w:lang w:val="fr-FR"/>
        </w:rPr>
        <w:t xml:space="preserve"> « livret du bénéficiaire » comme possible moyen d’identification lors du retrait d'espèce par le bénéficiaire.</w:t>
      </w:r>
    </w:p>
    <w:p w14:paraId="092532AF" w14:textId="77777777" w:rsidR="00C13497" w:rsidRDefault="00C13497" w:rsidP="00DB19B8"/>
    <w:p w14:paraId="73161EEA" w14:textId="77777777" w:rsidR="00C13497" w:rsidRDefault="003772CF">
      <w:pPr>
        <w:pStyle w:val="Paragraphedeliste"/>
        <w:numPr>
          <w:ilvl w:val="0"/>
          <w:numId w:val="4"/>
        </w:numPr>
        <w:shd w:val="clear" w:color="auto" w:fill="FFFFFF" w:themeFill="background1"/>
        <w:spacing w:after="0" w:line="240" w:lineRule="auto"/>
        <w:ind w:left="0" w:right="567" w:firstLine="0"/>
        <w:jc w:val="both"/>
        <w:rPr>
          <w:rFonts w:ascii="Times New Roman" w:hAnsi="Times New Roman"/>
          <w:b/>
          <w:sz w:val="24"/>
          <w:szCs w:val="24"/>
          <w:lang w:val="fr-FR"/>
        </w:rPr>
      </w:pPr>
      <w:r>
        <w:rPr>
          <w:rFonts w:ascii="Times New Roman" w:hAnsi="Times New Roman"/>
          <w:b/>
          <w:sz w:val="24"/>
          <w:szCs w:val="24"/>
          <w:lang w:val="fr-FR"/>
        </w:rPr>
        <w:t>Qualifications requises :</w:t>
      </w:r>
    </w:p>
    <w:p w14:paraId="32ACF1D1" w14:textId="77777777" w:rsidR="00C13497" w:rsidRDefault="00C13497">
      <w:pPr>
        <w:pStyle w:val="Paragraphedeliste"/>
        <w:shd w:val="clear" w:color="auto" w:fill="FFFFFF" w:themeFill="background1"/>
        <w:spacing w:after="0" w:line="240" w:lineRule="auto"/>
        <w:ind w:left="0" w:right="567"/>
        <w:jc w:val="both"/>
        <w:rPr>
          <w:rFonts w:ascii="Times New Roman" w:hAnsi="Times New Roman"/>
          <w:b/>
          <w:sz w:val="24"/>
          <w:szCs w:val="24"/>
          <w:lang w:val="fr-FR"/>
        </w:rPr>
      </w:pPr>
    </w:p>
    <w:p w14:paraId="2FC5ADAD" w14:textId="77777777" w:rsidR="00C13497" w:rsidRDefault="003772CF">
      <w:pPr>
        <w:shd w:val="clear" w:color="auto" w:fill="FFFFFF" w:themeFill="background1"/>
      </w:pPr>
      <w:r>
        <w:t>Le Prestataire de Service doit être une entité dotée de la capacité d’assurer les services et de s’acquitter des obligations décrites dans les présents termes de référence, dûment autorisée à exercer ses activités et ayant une existence légale sur le territoire de la République de Madagascar.</w:t>
      </w:r>
    </w:p>
    <w:p w14:paraId="4DA49C04" w14:textId="77777777" w:rsidR="00C13497" w:rsidRDefault="00C13497">
      <w:pPr>
        <w:widowControl w:val="0"/>
        <w:shd w:val="clear" w:color="auto" w:fill="FFFFFF" w:themeFill="background1"/>
        <w:tabs>
          <w:tab w:val="left" w:pos="820"/>
        </w:tabs>
      </w:pPr>
    </w:p>
    <w:p w14:paraId="3F021AF2" w14:textId="77777777" w:rsidR="00C13497" w:rsidRDefault="003772CF">
      <w:pPr>
        <w:shd w:val="clear" w:color="auto" w:fill="FFFFFF" w:themeFill="background1"/>
        <w:spacing w:after="240"/>
        <w:ind w:right="72"/>
      </w:pPr>
      <w:r>
        <w:t xml:space="preserve">Les critères de qualification du Prestataire sont les suivants : </w:t>
      </w:r>
    </w:p>
    <w:p w14:paraId="4ED0996B" w14:textId="77777777" w:rsidR="00C13497" w:rsidRDefault="003772CF">
      <w:pPr>
        <w:shd w:val="clear" w:color="auto" w:fill="FFFFFF" w:themeFill="background1"/>
        <w:tabs>
          <w:tab w:val="left" w:pos="1080"/>
        </w:tabs>
        <w:spacing w:after="180"/>
        <w:ind w:left="1067" w:right="-72" w:hanging="567"/>
      </w:pPr>
      <w:r>
        <w:t>(a)   Résultats financiers audités des 3 dernières années</w:t>
      </w:r>
    </w:p>
    <w:p w14:paraId="339A801A" w14:textId="77777777" w:rsidR="00C13497" w:rsidRDefault="003772CF">
      <w:pPr>
        <w:shd w:val="clear" w:color="auto" w:fill="FFFFFF" w:themeFill="background1"/>
        <w:tabs>
          <w:tab w:val="left" w:pos="1080"/>
        </w:tabs>
        <w:spacing w:after="120"/>
        <w:ind w:left="1080" w:right="-72" w:hanging="540"/>
      </w:pPr>
      <w:r>
        <w:t>(b)</w:t>
      </w:r>
      <w:r>
        <w:tab/>
        <w:t xml:space="preserve">avoir une expérience de prestataire de services en transfert d’argent correspondant au moins au nombre de </w:t>
      </w:r>
      <w:r>
        <w:rPr>
          <w:b/>
        </w:rPr>
        <w:t>DEUX</w:t>
      </w:r>
      <w:r>
        <w:t xml:space="preserve"> (02) de même nature et complexité que les prestations de services objet de cet appel d’offres pendant les </w:t>
      </w:r>
      <w:r>
        <w:rPr>
          <w:b/>
        </w:rPr>
        <w:t>TROIS</w:t>
      </w:r>
      <w:r>
        <w:t xml:space="preserve"> (03) dernières années (pour être admises, ces activités doivent être terminés au moins pour 100 pour cent) ; Pour les IMF catégorie 1, avec une attestation de bonne fin. Les références sont à fournir. </w:t>
      </w:r>
    </w:p>
    <w:p w14:paraId="4931444E" w14:textId="77777777" w:rsidR="00C13497" w:rsidRDefault="003772CF">
      <w:pPr>
        <w:shd w:val="clear" w:color="auto" w:fill="FFFFFF" w:themeFill="background1"/>
        <w:tabs>
          <w:tab w:val="left" w:pos="1080"/>
        </w:tabs>
        <w:spacing w:after="180"/>
        <w:ind w:left="1080" w:right="-72" w:hanging="540"/>
      </w:pPr>
      <w:r>
        <w:t xml:space="preserve"> (c)   Pertinence des moyens d’intervention et de transfert au niveau de chaque chef-lieu de commune et des fokontany d’intervention</w:t>
      </w:r>
    </w:p>
    <w:p w14:paraId="02163C88" w14:textId="77777777" w:rsidR="00C13497" w:rsidRDefault="00C13497">
      <w:pPr>
        <w:shd w:val="clear" w:color="auto" w:fill="FFFFFF" w:themeFill="background1"/>
      </w:pPr>
    </w:p>
    <w:p w14:paraId="2A1CD8DE" w14:textId="77777777" w:rsidR="00C13497" w:rsidRDefault="003772CF">
      <w:pPr>
        <w:shd w:val="clear" w:color="auto" w:fill="FFFFFF" w:themeFill="background1"/>
        <w:tabs>
          <w:tab w:val="left" w:pos="1080"/>
        </w:tabs>
        <w:spacing w:after="180"/>
        <w:ind w:left="1080" w:right="-72" w:hanging="540"/>
      </w:pPr>
      <w:r>
        <w:lastRenderedPageBreak/>
        <w:t>(d)  Autres qualifications</w:t>
      </w:r>
    </w:p>
    <w:p w14:paraId="2FB87D9D" w14:textId="77777777" w:rsidR="00C13497" w:rsidRDefault="00C13497">
      <w:pPr>
        <w:pStyle w:val="Paragraphedeliste"/>
        <w:shd w:val="clear" w:color="auto" w:fill="FFFFFF" w:themeFill="background1"/>
        <w:spacing w:after="0" w:line="240" w:lineRule="auto"/>
        <w:ind w:left="567" w:right="567"/>
        <w:jc w:val="both"/>
        <w:rPr>
          <w:rFonts w:ascii="Times New Roman" w:hAnsi="Times New Roman"/>
          <w:b/>
          <w:sz w:val="24"/>
          <w:szCs w:val="24"/>
          <w:lang w:val="fr-FR"/>
        </w:rPr>
      </w:pPr>
    </w:p>
    <w:p w14:paraId="53B7CD05" w14:textId="77777777" w:rsidR="00C13497" w:rsidRDefault="003772CF">
      <w:pPr>
        <w:widowControl w:val="0"/>
        <w:tabs>
          <w:tab w:val="left" w:pos="820"/>
        </w:tabs>
        <w:ind w:left="567" w:right="567"/>
      </w:pPr>
      <w:r>
        <w:t>Tout prestataire de service qui souhaite participer devra remplir les conditions suivantes :</w:t>
      </w:r>
    </w:p>
    <w:p w14:paraId="4D41229D" w14:textId="77777777" w:rsidR="00C13497" w:rsidRDefault="00C13497">
      <w:pPr>
        <w:widowControl w:val="0"/>
        <w:tabs>
          <w:tab w:val="left" w:pos="820"/>
        </w:tabs>
        <w:ind w:left="567" w:right="567"/>
      </w:pPr>
    </w:p>
    <w:p w14:paraId="56D9CD28" w14:textId="77777777" w:rsidR="00C13497" w:rsidRDefault="003772CF">
      <w:pPr>
        <w:widowControl w:val="0"/>
        <w:numPr>
          <w:ilvl w:val="0"/>
          <w:numId w:val="6"/>
        </w:numPr>
        <w:tabs>
          <w:tab w:val="left" w:pos="1180"/>
        </w:tabs>
        <w:ind w:left="567" w:right="567"/>
        <w:contextualSpacing/>
      </w:pPr>
      <w:proofErr w:type="gramStart"/>
      <w:r>
        <w:t>être</w:t>
      </w:r>
      <w:proofErr w:type="gramEnd"/>
      <w:r>
        <w:t xml:space="preserve"> basée à Madagascar et constituée selon les lois et les règlements en vigueur ;</w:t>
      </w:r>
    </w:p>
    <w:p w14:paraId="7CA0557D" w14:textId="77777777" w:rsidR="00C13497" w:rsidRDefault="003772CF">
      <w:pPr>
        <w:widowControl w:val="0"/>
        <w:numPr>
          <w:ilvl w:val="0"/>
          <w:numId w:val="7"/>
        </w:numPr>
        <w:tabs>
          <w:tab w:val="left" w:pos="1180"/>
        </w:tabs>
        <w:ind w:left="567" w:right="567"/>
        <w:contextualSpacing/>
      </w:pPr>
      <w:proofErr w:type="gramStart"/>
      <w:r>
        <w:t>avoir</w:t>
      </w:r>
      <w:proofErr w:type="gramEnd"/>
      <w:r>
        <w:t xml:space="preserve"> son siège ou une agence dans l’une des zones d’intervention du Programme ;</w:t>
      </w:r>
    </w:p>
    <w:p w14:paraId="2DFC9412" w14:textId="084F7FDE" w:rsidR="00C13497" w:rsidRDefault="00F245AD">
      <w:pPr>
        <w:widowControl w:val="0"/>
        <w:numPr>
          <w:ilvl w:val="0"/>
          <w:numId w:val="7"/>
        </w:numPr>
        <w:tabs>
          <w:tab w:val="left" w:pos="1180"/>
        </w:tabs>
        <w:ind w:left="567" w:right="567"/>
        <w:contextualSpacing/>
      </w:pPr>
      <w:proofErr w:type="gramStart"/>
      <w:r>
        <w:t>pour</w:t>
      </w:r>
      <w:proofErr w:type="gramEnd"/>
      <w:r>
        <w:t xml:space="preserve"> les IMF, </w:t>
      </w:r>
      <w:r w:rsidR="003772CF">
        <w:t>être agréée et inscrite en tant qu’IMF selon les réglementations en vigueur dans le pays ;</w:t>
      </w:r>
    </w:p>
    <w:p w14:paraId="4DC95386" w14:textId="77777777" w:rsidR="00C13497" w:rsidRDefault="003772CF">
      <w:pPr>
        <w:widowControl w:val="0"/>
        <w:numPr>
          <w:ilvl w:val="0"/>
          <w:numId w:val="7"/>
        </w:numPr>
        <w:tabs>
          <w:tab w:val="left" w:pos="1180"/>
        </w:tabs>
        <w:ind w:left="567" w:right="567"/>
        <w:contextualSpacing/>
      </w:pPr>
      <w:proofErr w:type="gramStart"/>
      <w:r>
        <w:t>doter</w:t>
      </w:r>
      <w:proofErr w:type="gramEnd"/>
      <w:r>
        <w:t xml:space="preserve"> d'une large couverture géographique réseau pour les opérateurs mobiles dans les zones d’intervention; </w:t>
      </w:r>
    </w:p>
    <w:p w14:paraId="3F96257B" w14:textId="445B7D09" w:rsidR="00C13497" w:rsidRDefault="003772CF">
      <w:pPr>
        <w:widowControl w:val="0"/>
        <w:numPr>
          <w:ilvl w:val="0"/>
          <w:numId w:val="7"/>
        </w:numPr>
        <w:tabs>
          <w:tab w:val="left" w:pos="1180"/>
        </w:tabs>
        <w:ind w:left="567" w:right="567"/>
        <w:contextualSpacing/>
      </w:pPr>
      <w:proofErr w:type="gramStart"/>
      <w:r>
        <w:t>posséder</w:t>
      </w:r>
      <w:proofErr w:type="gramEnd"/>
      <w:r>
        <w:t xml:space="preserve"> des systèmes d’information pour la gestion </w:t>
      </w:r>
      <w:r w:rsidR="00F245AD">
        <w:t>(plateforme pour les opérateurs mobiles) </w:t>
      </w:r>
      <w:r>
        <w:t>et la prise de décision</w:t>
      </w:r>
      <w:r w:rsidR="00F245AD">
        <w:t xml:space="preserve"> (décentralisée ou centralisée)</w:t>
      </w:r>
      <w:r>
        <w:t>;</w:t>
      </w:r>
    </w:p>
    <w:p w14:paraId="7E28A570" w14:textId="77777777" w:rsidR="00C13497" w:rsidRDefault="003772CF">
      <w:pPr>
        <w:widowControl w:val="0"/>
        <w:numPr>
          <w:ilvl w:val="0"/>
          <w:numId w:val="7"/>
        </w:numPr>
        <w:tabs>
          <w:tab w:val="left" w:pos="1180"/>
        </w:tabs>
        <w:ind w:left="567" w:right="567"/>
        <w:contextualSpacing/>
      </w:pPr>
      <w:proofErr w:type="gramStart"/>
      <w:r>
        <w:t>posséder</w:t>
      </w:r>
      <w:proofErr w:type="gramEnd"/>
      <w:r>
        <w:t xml:space="preserve"> un système de sécurisation  bien structuré ;</w:t>
      </w:r>
    </w:p>
    <w:p w14:paraId="785FBE02" w14:textId="77777777" w:rsidR="00C13497" w:rsidRDefault="003772CF">
      <w:pPr>
        <w:widowControl w:val="0"/>
        <w:numPr>
          <w:ilvl w:val="0"/>
          <w:numId w:val="7"/>
        </w:numPr>
        <w:tabs>
          <w:tab w:val="left" w:pos="1180"/>
        </w:tabs>
        <w:ind w:left="567" w:right="567"/>
        <w:contextualSpacing/>
      </w:pPr>
      <w:proofErr w:type="gramStart"/>
      <w:r>
        <w:t>ne</w:t>
      </w:r>
      <w:proofErr w:type="gramEnd"/>
      <w:r>
        <w:t xml:space="preserve"> pas être sous-administration provisoire, en état de liquidation, ni en redressement judiciaire ;</w:t>
      </w:r>
    </w:p>
    <w:p w14:paraId="0C094A8A" w14:textId="77777777" w:rsidR="00C13497" w:rsidRDefault="003772CF">
      <w:pPr>
        <w:widowControl w:val="0"/>
        <w:numPr>
          <w:ilvl w:val="0"/>
          <w:numId w:val="7"/>
        </w:numPr>
        <w:tabs>
          <w:tab w:val="left" w:pos="1180"/>
        </w:tabs>
        <w:ind w:left="567" w:right="567"/>
        <w:contextualSpacing/>
      </w:pPr>
      <w:proofErr w:type="gramStart"/>
      <w:r>
        <w:t>avoir</w:t>
      </w:r>
      <w:proofErr w:type="gramEnd"/>
      <w:r>
        <w:t xml:space="preserve"> un réseau bien structuré dans la zone d’intervention ;</w:t>
      </w:r>
    </w:p>
    <w:p w14:paraId="5B7D54B1" w14:textId="77777777" w:rsidR="00C13497" w:rsidRDefault="003772CF">
      <w:pPr>
        <w:widowControl w:val="0"/>
        <w:numPr>
          <w:ilvl w:val="0"/>
          <w:numId w:val="7"/>
        </w:numPr>
        <w:tabs>
          <w:tab w:val="left" w:pos="1180"/>
        </w:tabs>
        <w:ind w:left="567" w:right="567"/>
        <w:contextualSpacing/>
      </w:pPr>
      <w:proofErr w:type="gramStart"/>
      <w:r>
        <w:t>avoir</w:t>
      </w:r>
      <w:proofErr w:type="gramEnd"/>
      <w:r>
        <w:t xml:space="preserve"> une structure de gouvernance solide ;</w:t>
      </w:r>
    </w:p>
    <w:p w14:paraId="7226EBDB" w14:textId="77777777" w:rsidR="00C13497" w:rsidRDefault="003772CF">
      <w:pPr>
        <w:widowControl w:val="0"/>
        <w:numPr>
          <w:ilvl w:val="0"/>
          <w:numId w:val="7"/>
        </w:numPr>
        <w:tabs>
          <w:tab w:val="left" w:pos="1180"/>
        </w:tabs>
        <w:ind w:left="567" w:right="567"/>
        <w:contextualSpacing/>
      </w:pPr>
      <w:proofErr w:type="gramStart"/>
      <w:r>
        <w:t>avoir</w:t>
      </w:r>
      <w:proofErr w:type="gramEnd"/>
      <w:r>
        <w:t xml:space="preserve"> démontré un engagement envers les populations en milieu rural et majoritairement les femmes et les jeunes;</w:t>
      </w:r>
    </w:p>
    <w:p w14:paraId="5A331D6E" w14:textId="77777777" w:rsidR="00C13497" w:rsidRDefault="003772CF">
      <w:pPr>
        <w:widowControl w:val="0"/>
        <w:numPr>
          <w:ilvl w:val="0"/>
          <w:numId w:val="7"/>
        </w:numPr>
        <w:tabs>
          <w:tab w:val="left" w:pos="1180"/>
        </w:tabs>
        <w:ind w:left="567" w:right="567"/>
        <w:contextualSpacing/>
      </w:pPr>
      <w:proofErr w:type="gramStart"/>
      <w:r>
        <w:t>disposer  d’états</w:t>
      </w:r>
      <w:proofErr w:type="gramEnd"/>
      <w:r>
        <w:t xml:space="preserve">  financiers  annuels  pour  leurs  trois  (3)  derniers  exercices  fiscaux  au moins</w:t>
      </w:r>
    </w:p>
    <w:p w14:paraId="75FCDBF3" w14:textId="77777777" w:rsidR="00C13497" w:rsidRDefault="003772CF">
      <w:pPr>
        <w:widowControl w:val="0"/>
        <w:numPr>
          <w:ilvl w:val="0"/>
          <w:numId w:val="7"/>
        </w:numPr>
        <w:tabs>
          <w:tab w:val="left" w:pos="1180"/>
        </w:tabs>
        <w:ind w:left="567" w:right="567"/>
        <w:contextualSpacing/>
      </w:pPr>
      <w:proofErr w:type="gramStart"/>
      <w:r>
        <w:t>avoir</w:t>
      </w:r>
      <w:proofErr w:type="gramEnd"/>
      <w:r>
        <w:t xml:space="preserve"> un portefeuille à risque à plus de trente (30) jours (PAR&gt;30 jours) d’un maximum de 10% </w:t>
      </w:r>
    </w:p>
    <w:p w14:paraId="008EF510" w14:textId="77777777" w:rsidR="00C13497" w:rsidRDefault="003772CF">
      <w:pPr>
        <w:widowControl w:val="0"/>
        <w:numPr>
          <w:ilvl w:val="0"/>
          <w:numId w:val="7"/>
        </w:numPr>
        <w:tabs>
          <w:tab w:val="left" w:pos="1180"/>
        </w:tabs>
        <w:ind w:left="567" w:right="567"/>
        <w:contextualSpacing/>
      </w:pPr>
      <w:proofErr w:type="gramStart"/>
      <w:r>
        <w:t>disposer</w:t>
      </w:r>
      <w:proofErr w:type="gramEnd"/>
      <w:r>
        <w:t xml:space="preserve"> de politiques, de procédures, de l’organisation et du personnel d’exploitation nécessaires pour évaluer les risques et superviser le paiement de la subvention aux</w:t>
      </w:r>
      <w:r>
        <w:rPr>
          <w:sz w:val="22"/>
          <w:szCs w:val="22"/>
        </w:rPr>
        <w:t xml:space="preserve"> bénéficiaires de l’ACT-P et TMDH.</w:t>
      </w:r>
    </w:p>
    <w:sectPr w:rsidR="00C13497">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3460"/>
    <w:multiLevelType w:val="multilevel"/>
    <w:tmpl w:val="FDA2F1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B86B2A"/>
    <w:multiLevelType w:val="multilevel"/>
    <w:tmpl w:val="E52A21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5572829"/>
    <w:multiLevelType w:val="hybridMultilevel"/>
    <w:tmpl w:val="CF56D4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9E36DBE"/>
    <w:multiLevelType w:val="multilevel"/>
    <w:tmpl w:val="D46267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F7A6ACF"/>
    <w:multiLevelType w:val="multilevel"/>
    <w:tmpl w:val="C5D0488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A8F2061"/>
    <w:multiLevelType w:val="multilevel"/>
    <w:tmpl w:val="BEB6D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007E54"/>
    <w:multiLevelType w:val="multilevel"/>
    <w:tmpl w:val="7D3C0DE0"/>
    <w:lvl w:ilvl="0">
      <w:start w:val="1"/>
      <w:numFmt w:val="bullet"/>
      <w:lvlText w:val=""/>
      <w:lvlJc w:val="left"/>
      <w:pPr>
        <w:ind w:left="720" w:hanging="360"/>
      </w:pPr>
      <w:rPr>
        <w:rFonts w:ascii="Wingdings" w:hAnsi="Wingdings" w:cs="Wingdings" w:hint="default"/>
        <w:color w:val="auto"/>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0260030"/>
    <w:multiLevelType w:val="multilevel"/>
    <w:tmpl w:val="C37857A8"/>
    <w:lvl w:ilvl="0">
      <w:start w:val="4"/>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57E64C04"/>
    <w:multiLevelType w:val="multilevel"/>
    <w:tmpl w:val="0ED6ABFC"/>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9E315C3"/>
    <w:multiLevelType w:val="hybridMultilevel"/>
    <w:tmpl w:val="F8765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647F4"/>
    <w:multiLevelType w:val="multilevel"/>
    <w:tmpl w:val="5560988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64A37D84"/>
    <w:multiLevelType w:val="multilevel"/>
    <w:tmpl w:val="093EF6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93F59AA"/>
    <w:multiLevelType w:val="multilevel"/>
    <w:tmpl w:val="29249A02"/>
    <w:lvl w:ilvl="0">
      <w:start w:val="1"/>
      <w:numFmt w:val="bullet"/>
      <w:lvlText w:val=""/>
      <w:lvlJc w:val="left"/>
      <w:pPr>
        <w:ind w:left="1440" w:hanging="360"/>
      </w:pPr>
      <w:rPr>
        <w:rFonts w:ascii="Wingdings" w:hAnsi="Wingdings" w:cs="Wingdings" w:hint="default"/>
      </w:rPr>
    </w:lvl>
    <w:lvl w:ilvl="1">
      <w:start w:val="1"/>
      <w:numFmt w:val="bullet"/>
      <w:lvlText w:val="-"/>
      <w:lvlJc w:val="left"/>
      <w:pPr>
        <w:ind w:left="2160" w:hanging="360"/>
      </w:pPr>
      <w:rPr>
        <w:rFonts w:ascii="Calibri" w:hAnsi="Calibri" w:cs="Calibri"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69E54D40"/>
    <w:multiLevelType w:val="multilevel"/>
    <w:tmpl w:val="BE649B3C"/>
    <w:lvl w:ilvl="0">
      <w:start w:val="1"/>
      <w:numFmt w:val="bullet"/>
      <w:lvlText w:val=""/>
      <w:lvlJc w:val="left"/>
      <w:pPr>
        <w:ind w:left="785"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C5005E6"/>
    <w:multiLevelType w:val="multilevel"/>
    <w:tmpl w:val="095AFCC6"/>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920807"/>
    <w:multiLevelType w:val="multilevel"/>
    <w:tmpl w:val="2630769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64A45C4"/>
    <w:multiLevelType w:val="multilevel"/>
    <w:tmpl w:val="5A6072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B44C69"/>
    <w:multiLevelType w:val="multilevel"/>
    <w:tmpl w:val="1764DD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3"/>
  </w:num>
  <w:num w:numId="4">
    <w:abstractNumId w:val="14"/>
  </w:num>
  <w:num w:numId="5">
    <w:abstractNumId w:val="15"/>
  </w:num>
  <w:num w:numId="6">
    <w:abstractNumId w:val="10"/>
  </w:num>
  <w:num w:numId="7">
    <w:abstractNumId w:val="12"/>
  </w:num>
  <w:num w:numId="8">
    <w:abstractNumId w:val="16"/>
  </w:num>
  <w:num w:numId="9">
    <w:abstractNumId w:val="0"/>
  </w:num>
  <w:num w:numId="10">
    <w:abstractNumId w:val="17"/>
  </w:num>
  <w:num w:numId="11">
    <w:abstractNumId w:val="13"/>
  </w:num>
  <w:num w:numId="12">
    <w:abstractNumId w:val="11"/>
  </w:num>
  <w:num w:numId="13">
    <w:abstractNumId w:val="5"/>
  </w:num>
  <w:num w:numId="14">
    <w:abstractNumId w:val="7"/>
  </w:num>
  <w:num w:numId="15">
    <w:abstractNumId w:val="1"/>
  </w:num>
  <w:num w:numId="16">
    <w:abstractNumId w:val="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97"/>
    <w:rsid w:val="000442AE"/>
    <w:rsid w:val="0012320E"/>
    <w:rsid w:val="001920BE"/>
    <w:rsid w:val="003772CF"/>
    <w:rsid w:val="00390566"/>
    <w:rsid w:val="003B1C44"/>
    <w:rsid w:val="004104DD"/>
    <w:rsid w:val="005E4135"/>
    <w:rsid w:val="007E6ECB"/>
    <w:rsid w:val="00B95084"/>
    <w:rsid w:val="00BD5A13"/>
    <w:rsid w:val="00C13497"/>
    <w:rsid w:val="00D003C3"/>
    <w:rsid w:val="00DB19B8"/>
    <w:rsid w:val="00DE0F6E"/>
    <w:rsid w:val="00E377F0"/>
    <w:rsid w:val="00EA546A"/>
    <w:rsid w:val="00F245AD"/>
    <w:rsid w:val="00F53EF7"/>
    <w:rsid w:val="00F55F3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9BD9"/>
  <w15:docId w15:val="{9B784552-109A-4147-858F-30D66C07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2D"/>
    <w:pPr>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A62A2D"/>
    <w:rPr>
      <w:sz w:val="16"/>
      <w:szCs w:val="16"/>
    </w:rPr>
  </w:style>
  <w:style w:type="character" w:customStyle="1" w:styleId="CommentaireCar">
    <w:name w:val="Commentaire Car"/>
    <w:basedOn w:val="Policepardfaut"/>
    <w:link w:val="Commentaire"/>
    <w:uiPriority w:val="99"/>
    <w:qFormat/>
    <w:rsid w:val="00A62A2D"/>
    <w:rPr>
      <w:rFonts w:ascii="Times New Roman" w:eastAsia="Times New Roman" w:hAnsi="Times New Roman" w:cs="Times New Roman"/>
      <w:sz w:val="20"/>
      <w:szCs w:val="20"/>
      <w:lang w:eastAsia="fr-FR"/>
    </w:rPr>
  </w:style>
  <w:style w:type="character" w:customStyle="1" w:styleId="LgendeCar">
    <w:name w:val="Légende Car"/>
    <w:link w:val="Lgende"/>
    <w:uiPriority w:val="35"/>
    <w:qFormat/>
    <w:locked/>
    <w:rsid w:val="00A62A2D"/>
    <w:rPr>
      <w:rFonts w:ascii="Garamond" w:eastAsiaTheme="minorEastAsia" w:hAnsi="Garamond"/>
      <w:b/>
      <w:bCs/>
      <w:color w:val="000000" w:themeColor="text1"/>
      <w:spacing w:val="-15"/>
      <w:kern w:val="2"/>
      <w:sz w:val="24"/>
      <w:szCs w:val="24"/>
      <w:lang w:eastAsia="es-ES"/>
    </w:rPr>
  </w:style>
  <w:style w:type="character" w:customStyle="1" w:styleId="ListParagraphChar">
    <w:name w:val="List Paragraph Char"/>
    <w:link w:val="Prrafodelista1"/>
    <w:qFormat/>
    <w:locked/>
    <w:rsid w:val="00A62A2D"/>
    <w:rPr>
      <w:rFonts w:ascii="Times New Roman" w:eastAsia="MS Mincho" w:hAnsi="Times New Roman" w:cs="Times New Roman"/>
      <w:sz w:val="20"/>
      <w:szCs w:val="20"/>
      <w:lang w:eastAsia="fr-FR"/>
    </w:rPr>
  </w:style>
  <w:style w:type="character" w:customStyle="1" w:styleId="ParagraphedelisteCar">
    <w:name w:val="Paragraphe de liste Car"/>
    <w:link w:val="Paragraphedeliste"/>
    <w:uiPriority w:val="34"/>
    <w:qFormat/>
    <w:rsid w:val="009C6E94"/>
    <w:rPr>
      <w:rFonts w:ascii="Calibri" w:eastAsia="Calibri" w:hAnsi="Calibri" w:cs="Times New Roman"/>
      <w:lang w:val="en-US"/>
    </w:rPr>
  </w:style>
  <w:style w:type="character" w:customStyle="1" w:styleId="ListLabel1">
    <w:name w:val="ListLabel 1"/>
    <w:qFormat/>
    <w:rPr>
      <w:rFonts w:ascii="Times New Roman" w:eastAsia="Calibri" w:hAnsi="Times New Roman" w:cs="Calibri"/>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color w:val="auto"/>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next w:val="Normal"/>
    <w:link w:val="LgendeCar"/>
    <w:autoRedefine/>
    <w:uiPriority w:val="35"/>
    <w:unhideWhenUsed/>
    <w:qFormat/>
    <w:rsid w:val="00A62A2D"/>
    <w:pPr>
      <w:spacing w:after="200"/>
      <w:jc w:val="center"/>
    </w:pPr>
    <w:rPr>
      <w:rFonts w:ascii="Garamond" w:eastAsiaTheme="minorEastAsia" w:hAnsi="Garamond" w:cstheme="minorBidi"/>
      <w:b/>
      <w:bCs/>
      <w:color w:val="000000" w:themeColor="text1"/>
      <w:spacing w:val="-15"/>
      <w:kern w:val="2"/>
      <w:lang w:eastAsia="es-ES"/>
    </w:rPr>
  </w:style>
  <w:style w:type="paragraph" w:customStyle="1" w:styleId="Index">
    <w:name w:val="Index"/>
    <w:basedOn w:val="Normal"/>
    <w:qFormat/>
    <w:pPr>
      <w:suppressLineNumbers/>
    </w:pPr>
    <w:rPr>
      <w:rFonts w:cs="Mangal"/>
    </w:rPr>
  </w:style>
  <w:style w:type="paragraph" w:styleId="Paragraphedeliste">
    <w:name w:val="List Paragraph"/>
    <w:basedOn w:val="Normal"/>
    <w:link w:val="ParagraphedelisteCar"/>
    <w:uiPriority w:val="34"/>
    <w:qFormat/>
    <w:rsid w:val="00A62A2D"/>
    <w:pPr>
      <w:spacing w:after="200" w:line="276" w:lineRule="auto"/>
      <w:ind w:left="720"/>
      <w:contextualSpacing/>
      <w:jc w:val="left"/>
    </w:pPr>
    <w:rPr>
      <w:rFonts w:ascii="Calibri" w:eastAsia="Calibri" w:hAnsi="Calibri"/>
      <w:sz w:val="22"/>
      <w:szCs w:val="22"/>
      <w:lang w:val="en-US" w:eastAsia="en-US"/>
    </w:rPr>
  </w:style>
  <w:style w:type="paragraph" w:styleId="Commentaire">
    <w:name w:val="annotation text"/>
    <w:basedOn w:val="Normal"/>
    <w:link w:val="CommentaireCar"/>
    <w:uiPriority w:val="99"/>
    <w:unhideWhenUsed/>
    <w:qFormat/>
    <w:rsid w:val="00A62A2D"/>
    <w:rPr>
      <w:sz w:val="20"/>
      <w:szCs w:val="20"/>
    </w:rPr>
  </w:style>
  <w:style w:type="paragraph" w:customStyle="1" w:styleId="Prrafodelista1">
    <w:name w:val="Párrafo de lista1"/>
    <w:basedOn w:val="Normal"/>
    <w:link w:val="ListParagraphChar"/>
    <w:qFormat/>
    <w:rsid w:val="00A62A2D"/>
    <w:pPr>
      <w:ind w:left="708"/>
      <w:jc w:val="left"/>
    </w:pPr>
    <w:rPr>
      <w:rFonts w:eastAsia="MS Mincho"/>
      <w:sz w:val="20"/>
      <w:szCs w:val="20"/>
    </w:rPr>
  </w:style>
  <w:style w:type="table" w:styleId="Grilledutableau">
    <w:name w:val="Table Grid"/>
    <w:basedOn w:val="TableauNormal"/>
    <w:uiPriority w:val="99"/>
    <w:rsid w:val="00A62A2D"/>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55F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F3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3891</Words>
  <Characters>21403</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dc:description/>
  <cp:lastModifiedBy>User</cp:lastModifiedBy>
  <cp:revision>2</cp:revision>
  <dcterms:created xsi:type="dcterms:W3CDTF">2019-12-09T08:51:00Z</dcterms:created>
  <dcterms:modified xsi:type="dcterms:W3CDTF">2019-12-09T08:51:00Z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