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65599" w14:textId="77777777" w:rsidR="00126DB1" w:rsidRDefault="008C2E57">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120"/>
        <w:jc w:val="center"/>
        <w:outlineLvl w:val="0"/>
        <w:rPr>
          <w:b/>
        </w:rPr>
      </w:pPr>
      <w:bookmarkStart w:id="0" w:name="_GoBack"/>
      <w:bookmarkEnd w:id="0"/>
      <w:r>
        <w:rPr>
          <w:b/>
        </w:rPr>
        <w:t>TERMES DE REFERENCE</w:t>
      </w:r>
    </w:p>
    <w:p w14:paraId="130EA8CC" w14:textId="77777777" w:rsidR="00126DB1" w:rsidRDefault="008C2E57">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120"/>
        <w:jc w:val="center"/>
        <w:rPr>
          <w:b/>
        </w:rPr>
      </w:pPr>
      <w:r>
        <w:rPr>
          <w:b/>
        </w:rPr>
        <w:t>Prestataires de Service pour le Programme de Transfert Monétaire aux bénéficiaires de filets de sécurités sociaux en transfert monétaire pour le développement humain du Fonds d’Intervention pour le Développement TMDH et en Argent Contre Travail Productif ACTP (AGENCE PAYEUR)</w:t>
      </w:r>
    </w:p>
    <w:p w14:paraId="346E6843" w14:textId="77777777" w:rsidR="00126DB1" w:rsidRDefault="00126DB1">
      <w:pPr>
        <w:shd w:val="clear" w:color="auto" w:fill="FFFFFF" w:themeFill="background1"/>
        <w:spacing w:after="120"/>
        <w:ind w:right="567"/>
        <w:rPr>
          <w:b/>
          <w:color w:val="0070C0"/>
        </w:rPr>
      </w:pPr>
    </w:p>
    <w:p w14:paraId="0AA29721" w14:textId="77777777" w:rsidR="00126DB1" w:rsidRDefault="008C2E57">
      <w:pPr>
        <w:pStyle w:val="Paragraphedeliste"/>
        <w:numPr>
          <w:ilvl w:val="0"/>
          <w:numId w:val="3"/>
        </w:numPr>
        <w:shd w:val="clear" w:color="auto" w:fill="FFFFFF" w:themeFill="background1"/>
        <w:spacing w:after="120" w:line="240" w:lineRule="auto"/>
        <w:ind w:left="0" w:right="567" w:firstLine="0"/>
        <w:jc w:val="both"/>
        <w:rPr>
          <w:rFonts w:ascii="Times New Roman" w:hAnsi="Times New Roman"/>
          <w:b/>
          <w:caps/>
          <w:sz w:val="24"/>
          <w:szCs w:val="24"/>
          <w:lang w:val="fr-FR"/>
        </w:rPr>
      </w:pPr>
      <w:r>
        <w:rPr>
          <w:rFonts w:ascii="Times New Roman" w:hAnsi="Times New Roman"/>
          <w:b/>
          <w:caps/>
          <w:sz w:val="24"/>
          <w:szCs w:val="24"/>
          <w:lang w:val="fr-FR"/>
        </w:rPr>
        <w:t>Contexte</w:t>
      </w:r>
    </w:p>
    <w:p w14:paraId="1A8C76BA" w14:textId="77777777" w:rsidR="00126DB1" w:rsidRDefault="008C2E57">
      <w:r>
        <w:t xml:space="preserve">La Banque Mondiale renforce son engagement dans la lutte contre la pauvreté et dans le développement de Madagascar en intensifiant son investissement dans le secteur de la protection sociale. </w:t>
      </w:r>
    </w:p>
    <w:p w14:paraId="19B377B8" w14:textId="77777777" w:rsidR="00126DB1" w:rsidRDefault="00126DB1"/>
    <w:p w14:paraId="15047F86" w14:textId="77777777" w:rsidR="00126DB1" w:rsidRDefault="008C2E57">
      <w:r>
        <w:t xml:space="preserve">Ainsi, le Gouvernement Malagasy a bénéficié d’un appui de la Banque Mondiale pour la mise en place d’un programme de Filets Sociaux de Sécurité (FSS) d’Août 2015 à septembre 2019. Cette composante comporte trois activités dont deux concernent des transferts </w:t>
      </w:r>
      <w:proofErr w:type="gramStart"/>
      <w:r>
        <w:t>monétaires:</w:t>
      </w:r>
      <w:proofErr w:type="gramEnd"/>
      <w:r>
        <w:t xml:space="preserve"> le programme de Transfert Monétaire pour le Développement Humain (TMDH) et du programme Argent Contre Travail-Productif (ACT-P) mis en œuvre dans les zones les plus touchés par la pauvreté. Par ailleurs, au cours de l’année 2016, suite à 3 années successives de sècheresse dans la partie sud de Madagascar, un programme d’urgence et de résilience a été mis en place par un financement additionnel du FSS dénommé FIAVOTA implémenté dans les 5 districts les plus touchés par la sècheresse. </w:t>
      </w:r>
    </w:p>
    <w:p w14:paraId="689CFB90" w14:textId="77777777" w:rsidR="00126DB1" w:rsidRDefault="008C2E57">
      <w:r>
        <w:t>Etant donné les résultats obtenus avec ces programmes, la Banque Mondiale amplifie son appui pour le Gouvernement Malagasy et décide de prolonger le projet FSS à travers un deuxième financement additionnel du projet FSS (FA2) pour une durée de 2,5 ans (2019 à 2022) afin d'aider le gouvernement à accroître l'accès des ménages extrêmement pauvres aux services de filet de sécurité ; de jeter les bases d'un système de protection sociale et de renforcer ainsi l'impact du projet FSS et le filet de sécurité sociale à Madagascar.</w:t>
      </w:r>
    </w:p>
    <w:p w14:paraId="696BB2E1" w14:textId="77777777" w:rsidR="00126DB1" w:rsidRDefault="008C2E57">
      <w:r>
        <w:t xml:space="preserve">Le projet FSS (FA2) renforcera le filet de sécurité sociale en consolidant les 03 </w:t>
      </w:r>
      <w:proofErr w:type="gramStart"/>
      <w:r>
        <w:t>programmes  de</w:t>
      </w:r>
      <w:proofErr w:type="gramEnd"/>
      <w:r>
        <w:t xml:space="preserve"> transferts monétaires : TMDH, ACTP et FIAVOTA.</w:t>
      </w:r>
    </w:p>
    <w:p w14:paraId="63BA4D55" w14:textId="77777777" w:rsidR="00126DB1" w:rsidRDefault="00126DB1"/>
    <w:p w14:paraId="7D35AFC9" w14:textId="77777777" w:rsidR="00126DB1" w:rsidRDefault="008C2E57">
      <w:r>
        <w:t>Il est à noter qu'un Appel à Manifestation d'Intérêts (AMI) a été effectué pour les agences de paiement (IMF, Mobile Money) et que les zones non couvertes par leur service feront l’objet de cette prestation.</w:t>
      </w:r>
    </w:p>
    <w:p w14:paraId="0FA5A02B" w14:textId="77777777" w:rsidR="00126DB1" w:rsidRDefault="00126DB1">
      <w:pPr>
        <w:shd w:val="clear" w:color="auto" w:fill="FFFFFF" w:themeFill="background1"/>
        <w:spacing w:after="120"/>
        <w:ind w:right="567"/>
      </w:pPr>
    </w:p>
    <w:p w14:paraId="5FFE45B2" w14:textId="77777777" w:rsidR="00126DB1" w:rsidRDefault="008C2E57">
      <w:pPr>
        <w:pBdr>
          <w:top w:val="single" w:sz="4" w:space="1" w:color="000000"/>
          <w:left w:val="single" w:sz="4" w:space="4" w:color="000000"/>
          <w:bottom w:val="single" w:sz="4" w:space="1" w:color="000000"/>
          <w:right w:val="single" w:sz="4" w:space="4" w:color="000000"/>
        </w:pBdr>
        <w:shd w:val="clear" w:color="auto" w:fill="D9D9D9"/>
        <w:spacing w:after="120"/>
      </w:pPr>
      <w:r>
        <w:t xml:space="preserve">Les présents termes de référence sont développés pour le recrutement d’une agence </w:t>
      </w:r>
      <w:proofErr w:type="gramStart"/>
      <w:r>
        <w:t>payeur  présélectionnée</w:t>
      </w:r>
      <w:proofErr w:type="gramEnd"/>
      <w:r>
        <w:t xml:space="preserve"> au FID en tant qu’AGEX, qui sera chargée d’assurer  le paiement des bénéficiaires du TMDH et de l’ACTP.</w:t>
      </w:r>
    </w:p>
    <w:p w14:paraId="38C4A0B8" w14:textId="77777777" w:rsidR="00126DB1" w:rsidRDefault="00126DB1">
      <w:pPr>
        <w:shd w:val="clear" w:color="auto" w:fill="FFFFFF" w:themeFill="background1"/>
        <w:spacing w:after="120"/>
        <w:ind w:right="567"/>
      </w:pPr>
    </w:p>
    <w:p w14:paraId="6A5691A0" w14:textId="77777777" w:rsidR="00126DB1" w:rsidRDefault="008C2E57">
      <w:pPr>
        <w:pStyle w:val="Paragraphedeliste"/>
        <w:numPr>
          <w:ilvl w:val="0"/>
          <w:numId w:val="3"/>
        </w:numPr>
        <w:shd w:val="clear" w:color="auto" w:fill="FFFFFF" w:themeFill="background1"/>
        <w:spacing w:after="120" w:line="240" w:lineRule="auto"/>
        <w:ind w:left="0" w:right="567" w:firstLine="0"/>
        <w:jc w:val="both"/>
        <w:rPr>
          <w:rFonts w:ascii="Times New Roman" w:hAnsi="Times New Roman"/>
          <w:b/>
          <w:sz w:val="24"/>
          <w:szCs w:val="24"/>
          <w:lang w:val="fr-FR"/>
        </w:rPr>
      </w:pPr>
      <w:r>
        <w:rPr>
          <w:rFonts w:ascii="Times New Roman" w:hAnsi="Times New Roman"/>
          <w:b/>
          <w:caps/>
          <w:sz w:val="24"/>
          <w:szCs w:val="24"/>
          <w:lang w:val="fr-FR"/>
        </w:rPr>
        <w:t xml:space="preserve">Mandat du Prestataire de service </w:t>
      </w:r>
    </w:p>
    <w:p w14:paraId="161D9EB7" w14:textId="5FC72DAF" w:rsidR="00126DB1" w:rsidRDefault="008C2E57">
      <w:pPr>
        <w:pStyle w:val="Paragraphedeliste"/>
        <w:numPr>
          <w:ilvl w:val="0"/>
          <w:numId w:val="11"/>
        </w:numPr>
        <w:jc w:val="both"/>
        <w:rPr>
          <w:rFonts w:ascii="Times New Roman" w:hAnsi="Times New Roman"/>
          <w:sz w:val="24"/>
          <w:szCs w:val="24"/>
          <w:lang w:val="fr-FR"/>
        </w:rPr>
      </w:pPr>
      <w:r>
        <w:rPr>
          <w:rFonts w:ascii="Times New Roman" w:hAnsi="Times New Roman"/>
          <w:sz w:val="24"/>
          <w:szCs w:val="24"/>
          <w:lang w:val="fr-FR"/>
        </w:rPr>
        <w:t xml:space="preserve">Le mandat du </w:t>
      </w:r>
      <w:r w:rsidR="006E0A70">
        <w:rPr>
          <w:rFonts w:ascii="Times New Roman" w:hAnsi="Times New Roman"/>
          <w:sz w:val="24"/>
          <w:szCs w:val="24"/>
          <w:lang w:val="fr-FR"/>
        </w:rPr>
        <w:t xml:space="preserve">prestataire </w:t>
      </w:r>
      <w:r>
        <w:rPr>
          <w:rFonts w:ascii="Times New Roman" w:hAnsi="Times New Roman"/>
          <w:sz w:val="24"/>
          <w:szCs w:val="24"/>
          <w:lang w:val="fr-FR"/>
        </w:rPr>
        <w:t xml:space="preserve">consiste à assurer le paiement des bénéficiaires </w:t>
      </w:r>
      <w:r>
        <w:rPr>
          <w:rFonts w:ascii="Times New Roman" w:eastAsia="Times New Roman" w:hAnsi="Times New Roman"/>
          <w:sz w:val="24"/>
          <w:szCs w:val="24"/>
          <w:lang w:val="fr-FR" w:eastAsia="fr-FR"/>
        </w:rPr>
        <w:t>au niveau des</w:t>
      </w:r>
      <w:r>
        <w:rPr>
          <w:rFonts w:ascii="Times New Roman" w:hAnsi="Times New Roman"/>
          <w:sz w:val="24"/>
          <w:szCs w:val="24"/>
          <w:lang w:val="fr-FR"/>
        </w:rPr>
        <w:t xml:space="preserve"> Fokontany de résidence des bénéficiaires du TMDH et ACTP auprès d’une caisse conformément au calendrier défini par les deux parties (FID et prestataire de service). </w:t>
      </w:r>
    </w:p>
    <w:p w14:paraId="095E8210" w14:textId="1CE91490" w:rsidR="00126DB1" w:rsidRDefault="008C2E57">
      <w:pPr>
        <w:pStyle w:val="Paragraphedeliste"/>
        <w:numPr>
          <w:ilvl w:val="0"/>
          <w:numId w:val="11"/>
        </w:numPr>
        <w:jc w:val="both"/>
        <w:rPr>
          <w:rFonts w:ascii="Times New Roman" w:hAnsi="Times New Roman"/>
          <w:sz w:val="24"/>
          <w:szCs w:val="24"/>
          <w:lang w:val="fr-FR"/>
        </w:rPr>
      </w:pPr>
      <w:r>
        <w:rPr>
          <w:rFonts w:ascii="Times New Roman" w:hAnsi="Times New Roman"/>
          <w:sz w:val="24"/>
          <w:szCs w:val="24"/>
          <w:lang w:val="fr-FR"/>
        </w:rPr>
        <w:t xml:space="preserve">Le </w:t>
      </w:r>
      <w:r w:rsidR="00C67463">
        <w:rPr>
          <w:rFonts w:ascii="Times New Roman" w:hAnsi="Times New Roman"/>
          <w:sz w:val="24"/>
          <w:szCs w:val="24"/>
          <w:lang w:val="fr-FR"/>
        </w:rPr>
        <w:t>P</w:t>
      </w:r>
      <w:r w:rsidR="006E0A70">
        <w:rPr>
          <w:rFonts w:ascii="Times New Roman" w:hAnsi="Times New Roman"/>
          <w:sz w:val="24"/>
          <w:szCs w:val="24"/>
          <w:lang w:val="fr-FR"/>
        </w:rPr>
        <w:t xml:space="preserve">restataire </w:t>
      </w:r>
      <w:r>
        <w:rPr>
          <w:rFonts w:ascii="Times New Roman" w:hAnsi="Times New Roman"/>
          <w:sz w:val="24"/>
          <w:szCs w:val="24"/>
          <w:lang w:val="fr-FR"/>
        </w:rPr>
        <w:t xml:space="preserve">de </w:t>
      </w:r>
      <w:r w:rsidR="00C67463">
        <w:rPr>
          <w:rFonts w:ascii="Times New Roman" w:hAnsi="Times New Roman"/>
          <w:sz w:val="24"/>
          <w:szCs w:val="24"/>
          <w:lang w:val="fr-FR"/>
        </w:rPr>
        <w:t xml:space="preserve">Service </w:t>
      </w:r>
      <w:r>
        <w:rPr>
          <w:rFonts w:ascii="Times New Roman" w:hAnsi="Times New Roman"/>
          <w:sz w:val="24"/>
          <w:szCs w:val="24"/>
          <w:lang w:val="fr-FR"/>
        </w:rPr>
        <w:t>s’engage à exécuter le paiement des bénéficiaires du TMDH conformément aux clauses de la convention ainsi qu’aux normes comptables et financiers requises.</w:t>
      </w:r>
    </w:p>
    <w:p w14:paraId="09B06068" w14:textId="34C69DC6" w:rsidR="00126DB1" w:rsidRDefault="008C2E57">
      <w:pPr>
        <w:pStyle w:val="Paragraphedeliste"/>
        <w:numPr>
          <w:ilvl w:val="0"/>
          <w:numId w:val="11"/>
        </w:numPr>
        <w:jc w:val="both"/>
        <w:rPr>
          <w:rFonts w:ascii="Times New Roman" w:hAnsi="Times New Roman"/>
          <w:sz w:val="24"/>
          <w:szCs w:val="24"/>
          <w:lang w:val="fr-FR"/>
        </w:rPr>
      </w:pPr>
      <w:r>
        <w:rPr>
          <w:rFonts w:ascii="Times New Roman" w:hAnsi="Times New Roman"/>
          <w:sz w:val="24"/>
          <w:szCs w:val="24"/>
          <w:lang w:val="fr-FR"/>
        </w:rPr>
        <w:t xml:space="preserve">Le </w:t>
      </w:r>
      <w:r w:rsidR="00C67463">
        <w:rPr>
          <w:rFonts w:ascii="Times New Roman" w:hAnsi="Times New Roman"/>
          <w:sz w:val="24"/>
          <w:szCs w:val="24"/>
          <w:lang w:val="fr-FR"/>
        </w:rPr>
        <w:t>P</w:t>
      </w:r>
      <w:r w:rsidR="006E0A70">
        <w:rPr>
          <w:rFonts w:ascii="Times New Roman" w:hAnsi="Times New Roman"/>
          <w:sz w:val="24"/>
          <w:szCs w:val="24"/>
          <w:lang w:val="fr-FR"/>
        </w:rPr>
        <w:t xml:space="preserve">restataire </w:t>
      </w:r>
      <w:r>
        <w:rPr>
          <w:rFonts w:ascii="Times New Roman" w:hAnsi="Times New Roman"/>
          <w:sz w:val="24"/>
          <w:szCs w:val="24"/>
          <w:lang w:val="fr-FR"/>
        </w:rPr>
        <w:t xml:space="preserve">s’engage à se faire escorter par les forces de l’ordre (gendarmes) pendant tous les stades de paiement allant de l’acheminement vers les lieux de paiement jusqu’à la réception des fonds par les bénéficiaires. La sécurisation porte donc non seulement sur les convois de fonds mais aussi sur les sites de paiement. </w:t>
      </w:r>
    </w:p>
    <w:p w14:paraId="4E6F18EC" w14:textId="77777777" w:rsidR="00126DB1" w:rsidRDefault="00126DB1">
      <w:pPr>
        <w:pStyle w:val="Paragraphedeliste"/>
        <w:shd w:val="clear" w:color="auto" w:fill="FFFFFF" w:themeFill="background1"/>
        <w:spacing w:after="120" w:line="240" w:lineRule="auto"/>
        <w:ind w:left="0"/>
        <w:jc w:val="both"/>
        <w:rPr>
          <w:rFonts w:ascii="Times New Roman" w:hAnsi="Times New Roman"/>
          <w:sz w:val="24"/>
          <w:szCs w:val="24"/>
          <w:lang w:val="fr-FR"/>
        </w:rPr>
      </w:pPr>
    </w:p>
    <w:p w14:paraId="171BF6D8" w14:textId="77777777" w:rsidR="00126DB1" w:rsidRDefault="00126DB1">
      <w:pPr>
        <w:pStyle w:val="Paragraphedeliste"/>
        <w:shd w:val="clear" w:color="auto" w:fill="FFFFFF" w:themeFill="background1"/>
        <w:spacing w:after="120" w:line="240" w:lineRule="auto"/>
        <w:ind w:left="0"/>
        <w:jc w:val="both"/>
        <w:rPr>
          <w:rFonts w:ascii="Times New Roman" w:hAnsi="Times New Roman"/>
          <w:sz w:val="24"/>
          <w:szCs w:val="24"/>
          <w:lang w:val="fr-FR"/>
        </w:rPr>
      </w:pPr>
    </w:p>
    <w:p w14:paraId="26D97F88" w14:textId="77777777" w:rsidR="00126DB1" w:rsidRDefault="00126DB1">
      <w:pPr>
        <w:pStyle w:val="Paragraphedeliste"/>
        <w:shd w:val="clear" w:color="auto" w:fill="FFFFFF" w:themeFill="background1"/>
        <w:spacing w:after="120" w:line="240" w:lineRule="auto"/>
        <w:ind w:left="0"/>
        <w:jc w:val="both"/>
        <w:rPr>
          <w:rFonts w:ascii="Times New Roman" w:hAnsi="Times New Roman"/>
          <w:sz w:val="24"/>
          <w:szCs w:val="24"/>
          <w:lang w:val="fr-FR"/>
        </w:rPr>
      </w:pPr>
    </w:p>
    <w:p w14:paraId="00FE4DB1" w14:textId="77777777" w:rsidR="00126DB1" w:rsidRDefault="00126DB1">
      <w:pPr>
        <w:pStyle w:val="Paragraphedeliste"/>
        <w:shd w:val="clear" w:color="auto" w:fill="FFFFFF" w:themeFill="background1"/>
        <w:spacing w:after="120" w:line="240" w:lineRule="auto"/>
        <w:ind w:left="0"/>
        <w:jc w:val="both"/>
        <w:rPr>
          <w:rFonts w:ascii="Times New Roman" w:hAnsi="Times New Roman"/>
          <w:sz w:val="24"/>
          <w:szCs w:val="24"/>
          <w:lang w:val="fr-FR"/>
        </w:rPr>
      </w:pPr>
    </w:p>
    <w:p w14:paraId="36F72524" w14:textId="77777777" w:rsidR="00126DB1" w:rsidRDefault="00126DB1">
      <w:pPr>
        <w:pStyle w:val="Paragraphedeliste"/>
        <w:shd w:val="clear" w:color="auto" w:fill="FFFFFF" w:themeFill="background1"/>
        <w:spacing w:after="120" w:line="240" w:lineRule="auto"/>
        <w:ind w:left="0"/>
        <w:jc w:val="both"/>
        <w:rPr>
          <w:rFonts w:ascii="Times New Roman" w:hAnsi="Times New Roman"/>
          <w:sz w:val="24"/>
          <w:szCs w:val="24"/>
          <w:lang w:val="fr-FR"/>
        </w:rPr>
      </w:pPr>
    </w:p>
    <w:p w14:paraId="4258A581" w14:textId="77777777" w:rsidR="00126DB1" w:rsidRDefault="00126DB1">
      <w:pPr>
        <w:pStyle w:val="Paragraphedeliste"/>
        <w:shd w:val="clear" w:color="auto" w:fill="FFFFFF" w:themeFill="background1"/>
        <w:spacing w:after="120" w:line="240" w:lineRule="auto"/>
        <w:ind w:left="0"/>
        <w:jc w:val="both"/>
        <w:rPr>
          <w:rFonts w:ascii="Times New Roman" w:hAnsi="Times New Roman"/>
          <w:sz w:val="24"/>
          <w:szCs w:val="24"/>
          <w:lang w:val="fr-FR"/>
        </w:rPr>
      </w:pPr>
    </w:p>
    <w:p w14:paraId="5DD2197B" w14:textId="77777777" w:rsidR="00126DB1" w:rsidRDefault="008C2E57">
      <w:pPr>
        <w:pStyle w:val="Paragraphedeliste"/>
        <w:numPr>
          <w:ilvl w:val="0"/>
          <w:numId w:val="3"/>
        </w:numPr>
        <w:shd w:val="clear" w:color="auto" w:fill="FFFFFF" w:themeFill="background1"/>
        <w:spacing w:after="120" w:line="240" w:lineRule="auto"/>
        <w:ind w:left="0" w:right="567" w:firstLine="0"/>
        <w:jc w:val="both"/>
        <w:rPr>
          <w:rFonts w:ascii="Times New Roman" w:hAnsi="Times New Roman"/>
          <w:b/>
          <w:caps/>
          <w:sz w:val="24"/>
          <w:szCs w:val="24"/>
          <w:lang w:val="fr-FR"/>
        </w:rPr>
      </w:pPr>
      <w:r>
        <w:rPr>
          <w:rFonts w:ascii="Times New Roman" w:hAnsi="Times New Roman"/>
          <w:b/>
          <w:caps/>
          <w:sz w:val="24"/>
          <w:szCs w:val="24"/>
          <w:lang w:val="fr-FR"/>
        </w:rPr>
        <w:t xml:space="preserve">Caractéristiques des paiements des </w:t>
      </w:r>
      <w:proofErr w:type="gramStart"/>
      <w:r>
        <w:rPr>
          <w:rFonts w:ascii="Times New Roman" w:hAnsi="Times New Roman"/>
          <w:b/>
          <w:caps/>
          <w:sz w:val="24"/>
          <w:szCs w:val="24"/>
          <w:lang w:val="fr-FR"/>
        </w:rPr>
        <w:t>activités:</w:t>
      </w:r>
      <w:proofErr w:type="gramEnd"/>
    </w:p>
    <w:p w14:paraId="602878CB" w14:textId="77777777" w:rsidR="00126DB1" w:rsidRDefault="00126DB1">
      <w:pPr>
        <w:pStyle w:val="Paragraphedeliste"/>
        <w:shd w:val="clear" w:color="auto" w:fill="FFFFFF" w:themeFill="background1"/>
        <w:spacing w:after="120" w:line="240" w:lineRule="auto"/>
        <w:ind w:left="0" w:right="567"/>
        <w:jc w:val="both"/>
        <w:rPr>
          <w:rFonts w:ascii="Times New Roman" w:hAnsi="Times New Roman"/>
          <w:b/>
          <w:sz w:val="24"/>
          <w:szCs w:val="24"/>
          <w:lang w:val="fr-FR"/>
        </w:rPr>
      </w:pPr>
    </w:p>
    <w:p w14:paraId="0BAF0048" w14:textId="77777777" w:rsidR="00126DB1" w:rsidRDefault="008C2E57">
      <w:pPr>
        <w:shd w:val="clear" w:color="auto" w:fill="FFFFFF" w:themeFill="background1"/>
        <w:spacing w:after="120"/>
        <w:outlineLvl w:val="0"/>
        <w:rPr>
          <w:b/>
          <w:i/>
        </w:rPr>
      </w:pPr>
      <w:r>
        <w:rPr>
          <w:b/>
          <w:i/>
        </w:rPr>
        <w:tab/>
        <w:t>3.1 Cycle de paiements :</w:t>
      </w:r>
    </w:p>
    <w:p w14:paraId="53AA7949" w14:textId="77777777" w:rsidR="00126DB1" w:rsidRDefault="00126DB1">
      <w:pPr>
        <w:shd w:val="clear" w:color="auto" w:fill="FFFFFF" w:themeFill="background1"/>
        <w:spacing w:after="120"/>
        <w:outlineLvl w:val="0"/>
        <w:rPr>
          <w:b/>
          <w:i/>
        </w:rPr>
      </w:pPr>
    </w:p>
    <w:p w14:paraId="4DFBC906" w14:textId="77777777" w:rsidR="00126DB1" w:rsidRDefault="008C2E57">
      <w:pPr>
        <w:shd w:val="clear" w:color="auto" w:fill="FFFFFF" w:themeFill="background1"/>
        <w:outlineLvl w:val="0"/>
        <w:rPr>
          <w:b/>
          <w:i/>
        </w:rPr>
      </w:pPr>
      <w:r>
        <w:rPr>
          <w:b/>
          <w:i/>
        </w:rPr>
        <w:t>Pour l’ACT-P</w:t>
      </w:r>
    </w:p>
    <w:p w14:paraId="4F5BCD69" w14:textId="77777777" w:rsidR="00126DB1" w:rsidRDefault="00126DB1">
      <w:pPr>
        <w:shd w:val="clear" w:color="auto" w:fill="FFFFFF" w:themeFill="background1"/>
        <w:rPr>
          <w:b/>
          <w:i/>
        </w:rPr>
      </w:pPr>
    </w:p>
    <w:p w14:paraId="0FE41402" w14:textId="77777777" w:rsidR="00126DB1" w:rsidRDefault="008C2E57">
      <w:pPr>
        <w:pStyle w:val="Paragraphedeliste"/>
        <w:numPr>
          <w:ilvl w:val="0"/>
          <w:numId w:val="9"/>
        </w:numPr>
        <w:jc w:val="both"/>
        <w:rPr>
          <w:rFonts w:ascii="Times New Roman" w:hAnsi="Times New Roman"/>
          <w:sz w:val="24"/>
          <w:szCs w:val="24"/>
          <w:lang w:val="fr-FR"/>
        </w:rPr>
      </w:pPr>
      <w:r>
        <w:rPr>
          <w:rFonts w:ascii="Times New Roman" w:hAnsi="Times New Roman"/>
          <w:sz w:val="24"/>
          <w:szCs w:val="24"/>
          <w:lang w:val="fr-FR"/>
        </w:rPr>
        <w:t>Le nombre de jours travaillés pendant chaque intervention sera de 40 jours. Les bénéfices seront payés sur la base des présences effectives des travailleurs</w:t>
      </w:r>
      <w:r>
        <w:rPr>
          <w:rFonts w:ascii="Times New Roman" w:eastAsia="Times New Roman" w:hAnsi="Times New Roman"/>
          <w:sz w:val="24"/>
          <w:szCs w:val="24"/>
          <w:lang w:val="fr-FR" w:eastAsia="fr-FR"/>
        </w:rPr>
        <w:t xml:space="preserve"> ou des transferts directs seront accordés aux ménages ayant des contraintes de main-d'œuvre sans qu'ils aient à travailler</w:t>
      </w:r>
      <w:r>
        <w:rPr>
          <w:rFonts w:ascii="Times New Roman" w:hAnsi="Times New Roman"/>
          <w:sz w:val="24"/>
          <w:szCs w:val="24"/>
          <w:lang w:val="fr-FR"/>
        </w:rPr>
        <w:t xml:space="preserve"> (inaptes)</w:t>
      </w:r>
    </w:p>
    <w:p w14:paraId="3BE0428E" w14:textId="77777777" w:rsidR="00126DB1" w:rsidRDefault="008C2E57">
      <w:pPr>
        <w:pStyle w:val="Paragraphedeliste"/>
        <w:numPr>
          <w:ilvl w:val="0"/>
          <w:numId w:val="9"/>
        </w:numPr>
        <w:shd w:val="clear" w:color="auto" w:fill="FFFFFF" w:themeFill="background1"/>
        <w:spacing w:after="0" w:line="240" w:lineRule="auto"/>
        <w:ind w:right="567"/>
        <w:jc w:val="both"/>
        <w:rPr>
          <w:rFonts w:ascii="Times New Roman" w:hAnsi="Times New Roman"/>
          <w:sz w:val="24"/>
          <w:szCs w:val="24"/>
          <w:lang w:val="fr-FR"/>
        </w:rPr>
      </w:pPr>
      <w:r>
        <w:rPr>
          <w:rFonts w:ascii="Times New Roman" w:hAnsi="Times New Roman"/>
          <w:sz w:val="24"/>
          <w:szCs w:val="24"/>
          <w:lang w:val="fr-FR"/>
        </w:rPr>
        <w:t>Le transfert des bénéfices ACT-P est fait en trois paiements suivant chaque cycle d’activité ACT-P par site auprès d’une caisse fixe.</w:t>
      </w:r>
    </w:p>
    <w:p w14:paraId="25661369" w14:textId="77777777" w:rsidR="00126DB1" w:rsidRDefault="008C2E57">
      <w:pPr>
        <w:pStyle w:val="Paragraphedeliste"/>
        <w:numPr>
          <w:ilvl w:val="0"/>
          <w:numId w:val="9"/>
        </w:numPr>
        <w:shd w:val="clear" w:color="auto" w:fill="FFFFFF" w:themeFill="background1"/>
        <w:spacing w:after="0" w:line="240" w:lineRule="auto"/>
        <w:ind w:right="567"/>
        <w:jc w:val="both"/>
        <w:rPr>
          <w:rFonts w:ascii="Times New Roman" w:hAnsi="Times New Roman"/>
          <w:sz w:val="24"/>
          <w:szCs w:val="24"/>
          <w:lang w:val="fr-FR"/>
        </w:rPr>
      </w:pPr>
      <w:r>
        <w:rPr>
          <w:rFonts w:ascii="Times New Roman" w:hAnsi="Times New Roman"/>
          <w:sz w:val="24"/>
          <w:szCs w:val="24"/>
          <w:lang w:val="fr-FR"/>
        </w:rPr>
        <w:t>Il est prévu 6 paiements par an soit 12 paiements pour toute la durée du projet.</w:t>
      </w:r>
    </w:p>
    <w:p w14:paraId="5803641B" w14:textId="77777777" w:rsidR="00126DB1" w:rsidRDefault="00126DB1">
      <w:pPr>
        <w:pStyle w:val="Paragraphedeliste"/>
        <w:shd w:val="clear" w:color="auto" w:fill="FFFFFF" w:themeFill="background1"/>
        <w:spacing w:after="0" w:line="240" w:lineRule="auto"/>
        <w:ind w:left="567" w:right="567"/>
        <w:jc w:val="both"/>
        <w:rPr>
          <w:rFonts w:ascii="Times New Roman" w:hAnsi="Times New Roman"/>
          <w:sz w:val="24"/>
          <w:szCs w:val="24"/>
          <w:lang w:val="fr-FR"/>
        </w:rPr>
      </w:pPr>
    </w:p>
    <w:p w14:paraId="15244C28" w14:textId="77777777" w:rsidR="00126DB1" w:rsidRDefault="008C2E57">
      <w:pPr>
        <w:shd w:val="clear" w:color="auto" w:fill="FFFFFF" w:themeFill="background1"/>
        <w:outlineLvl w:val="0"/>
        <w:rPr>
          <w:b/>
          <w:i/>
        </w:rPr>
      </w:pPr>
      <w:r>
        <w:rPr>
          <w:b/>
          <w:i/>
        </w:rPr>
        <w:t>Pour le TMDH</w:t>
      </w:r>
    </w:p>
    <w:p w14:paraId="2C8A6709" w14:textId="77777777" w:rsidR="00126DB1" w:rsidRDefault="00126DB1">
      <w:pPr>
        <w:pStyle w:val="Paragraphedeliste"/>
        <w:shd w:val="clear" w:color="auto" w:fill="FFFFFF" w:themeFill="background1"/>
        <w:spacing w:after="0" w:line="240" w:lineRule="auto"/>
        <w:ind w:left="567" w:right="567"/>
        <w:jc w:val="both"/>
        <w:rPr>
          <w:rFonts w:ascii="Times New Roman" w:hAnsi="Times New Roman"/>
          <w:sz w:val="24"/>
          <w:szCs w:val="24"/>
          <w:lang w:val="fr-FR"/>
        </w:rPr>
      </w:pPr>
    </w:p>
    <w:p w14:paraId="549F8934" w14:textId="77777777" w:rsidR="00126DB1" w:rsidRDefault="008C2E57">
      <w:pPr>
        <w:pStyle w:val="Paragraphedeliste"/>
        <w:numPr>
          <w:ilvl w:val="0"/>
          <w:numId w:val="12"/>
        </w:numPr>
        <w:shd w:val="clear" w:color="auto" w:fill="FFFFFF" w:themeFill="background1"/>
        <w:spacing w:after="0" w:line="240" w:lineRule="auto"/>
        <w:ind w:right="567"/>
        <w:jc w:val="both"/>
        <w:rPr>
          <w:rFonts w:ascii="Times New Roman" w:hAnsi="Times New Roman"/>
          <w:sz w:val="24"/>
          <w:szCs w:val="24"/>
          <w:lang w:val="fr-FR"/>
        </w:rPr>
      </w:pPr>
      <w:r>
        <w:rPr>
          <w:rFonts w:ascii="Times New Roman" w:hAnsi="Times New Roman"/>
          <w:sz w:val="24"/>
          <w:szCs w:val="24"/>
          <w:lang w:val="fr-FR"/>
        </w:rPr>
        <w:t xml:space="preserve">Pour le bénéficiaire du TMDH, la subvention aux ménages bénéficiaires est payable tous les 2 mois par site auprès d’une caisse </w:t>
      </w:r>
      <w:proofErr w:type="gramStart"/>
      <w:r>
        <w:rPr>
          <w:rFonts w:ascii="Times New Roman" w:hAnsi="Times New Roman"/>
          <w:sz w:val="24"/>
          <w:szCs w:val="24"/>
          <w:lang w:val="fr-FR"/>
        </w:rPr>
        <w:t>fixe  selon</w:t>
      </w:r>
      <w:proofErr w:type="gramEnd"/>
      <w:r>
        <w:rPr>
          <w:rFonts w:ascii="Times New Roman" w:hAnsi="Times New Roman"/>
          <w:sz w:val="24"/>
          <w:szCs w:val="24"/>
          <w:lang w:val="fr-FR"/>
        </w:rPr>
        <w:t xml:space="preserve"> le calendrier défini par les deux parties (FID et prestataire de service).</w:t>
      </w:r>
    </w:p>
    <w:p w14:paraId="075F6DEE" w14:textId="77777777" w:rsidR="00126DB1" w:rsidRDefault="008C2E57">
      <w:pPr>
        <w:pStyle w:val="Paragraphedeliste"/>
        <w:numPr>
          <w:ilvl w:val="0"/>
          <w:numId w:val="12"/>
        </w:numPr>
        <w:shd w:val="clear" w:color="auto" w:fill="FFFFFF" w:themeFill="background1"/>
        <w:spacing w:after="0" w:line="240" w:lineRule="auto"/>
        <w:ind w:right="567"/>
        <w:jc w:val="both"/>
        <w:rPr>
          <w:rFonts w:ascii="Times New Roman" w:hAnsi="Times New Roman"/>
          <w:sz w:val="24"/>
          <w:szCs w:val="24"/>
          <w:lang w:val="fr-FR"/>
        </w:rPr>
      </w:pPr>
      <w:r>
        <w:rPr>
          <w:rFonts w:ascii="Times New Roman" w:hAnsi="Times New Roman"/>
          <w:sz w:val="24"/>
          <w:szCs w:val="24"/>
          <w:lang w:val="fr-FR"/>
        </w:rPr>
        <w:t>Il est prévu 6 paiements par an soit 15 paiements pour toute la durée du projet.</w:t>
      </w:r>
    </w:p>
    <w:p w14:paraId="7308F55C" w14:textId="77777777" w:rsidR="00126DB1" w:rsidRDefault="00126DB1">
      <w:pPr>
        <w:pStyle w:val="Paragraphedeliste"/>
        <w:shd w:val="clear" w:color="auto" w:fill="FFFFFF" w:themeFill="background1"/>
        <w:spacing w:after="0" w:line="240" w:lineRule="auto"/>
        <w:ind w:left="567" w:right="567"/>
        <w:jc w:val="both"/>
        <w:rPr>
          <w:rFonts w:ascii="Times New Roman" w:hAnsi="Times New Roman"/>
          <w:sz w:val="24"/>
          <w:szCs w:val="24"/>
          <w:lang w:val="fr-FR"/>
        </w:rPr>
      </w:pPr>
    </w:p>
    <w:p w14:paraId="39B9C993" w14:textId="77777777" w:rsidR="00126DB1" w:rsidRDefault="00126DB1">
      <w:pPr>
        <w:pStyle w:val="Paragraphedeliste"/>
        <w:shd w:val="clear" w:color="auto" w:fill="FFFFFF" w:themeFill="background1"/>
        <w:spacing w:after="0" w:line="240" w:lineRule="auto"/>
        <w:ind w:left="567" w:right="567"/>
        <w:jc w:val="both"/>
        <w:rPr>
          <w:rFonts w:ascii="Times New Roman" w:hAnsi="Times New Roman"/>
          <w:sz w:val="24"/>
          <w:szCs w:val="24"/>
          <w:lang w:val="fr-FR"/>
        </w:rPr>
      </w:pPr>
    </w:p>
    <w:p w14:paraId="2776EFAF" w14:textId="77777777" w:rsidR="00126DB1" w:rsidRDefault="008C2E57">
      <w:pPr>
        <w:shd w:val="clear" w:color="auto" w:fill="FFFFFF" w:themeFill="background1"/>
        <w:spacing w:after="120"/>
        <w:outlineLvl w:val="0"/>
        <w:rPr>
          <w:b/>
          <w:i/>
        </w:rPr>
      </w:pPr>
      <w:r>
        <w:rPr>
          <w:b/>
          <w:i/>
        </w:rPr>
        <w:tab/>
        <w:t>3.2 Modalité de paiement des bénéficiaires</w:t>
      </w:r>
    </w:p>
    <w:p w14:paraId="18D5D9E7" w14:textId="77777777" w:rsidR="00126DB1" w:rsidRDefault="008C2E57">
      <w:pPr>
        <w:pStyle w:val="Paragraphedeliste"/>
        <w:numPr>
          <w:ilvl w:val="0"/>
          <w:numId w:val="13"/>
        </w:numPr>
        <w:shd w:val="clear" w:color="auto" w:fill="FFFFFF" w:themeFill="background1"/>
        <w:spacing w:after="120"/>
        <w:ind w:right="567"/>
        <w:jc w:val="both"/>
        <w:rPr>
          <w:rFonts w:ascii="Times New Roman" w:hAnsi="Times New Roman"/>
          <w:sz w:val="24"/>
          <w:szCs w:val="24"/>
          <w:lang w:val="fr-FR"/>
        </w:rPr>
      </w:pPr>
      <w:r>
        <w:rPr>
          <w:rFonts w:ascii="Times New Roman" w:hAnsi="Times New Roman"/>
          <w:sz w:val="24"/>
          <w:szCs w:val="24"/>
          <w:lang w:val="fr-FR"/>
        </w:rPr>
        <w:t>Le paiement des bénéficiaires du programme se fera :</w:t>
      </w:r>
    </w:p>
    <w:p w14:paraId="5F1537C7" w14:textId="77777777" w:rsidR="00126DB1" w:rsidRDefault="008C2E57">
      <w:pPr>
        <w:pStyle w:val="Paragraphedeliste"/>
        <w:numPr>
          <w:ilvl w:val="0"/>
          <w:numId w:val="2"/>
        </w:numPr>
        <w:shd w:val="clear" w:color="auto" w:fill="FFFFFF" w:themeFill="background1"/>
        <w:spacing w:after="120" w:line="240" w:lineRule="auto"/>
        <w:ind w:left="567"/>
        <w:jc w:val="both"/>
        <w:rPr>
          <w:rFonts w:ascii="Times New Roman" w:hAnsi="Times New Roman"/>
          <w:sz w:val="24"/>
          <w:szCs w:val="24"/>
          <w:lang w:val="fr-FR"/>
        </w:rPr>
      </w:pPr>
      <w:r>
        <w:rPr>
          <w:rFonts w:ascii="Times New Roman" w:hAnsi="Times New Roman"/>
          <w:sz w:val="24"/>
          <w:szCs w:val="24"/>
          <w:lang w:val="fr-FR"/>
        </w:rPr>
        <w:t>Périodiquement, à des dates qui seront définies entre les deux parties (FID et prestataire de service) ;</w:t>
      </w:r>
    </w:p>
    <w:p w14:paraId="4C09A45C" w14:textId="77777777" w:rsidR="00126DB1" w:rsidRDefault="00126DB1">
      <w:pPr>
        <w:pStyle w:val="Paragraphedeliste"/>
        <w:shd w:val="clear" w:color="auto" w:fill="FFFFFF" w:themeFill="background1"/>
        <w:spacing w:after="120" w:line="240" w:lineRule="auto"/>
        <w:ind w:left="567" w:right="567"/>
        <w:jc w:val="both"/>
        <w:rPr>
          <w:rFonts w:ascii="Times New Roman" w:hAnsi="Times New Roman"/>
          <w:sz w:val="24"/>
          <w:szCs w:val="24"/>
          <w:lang w:val="fr-FR"/>
        </w:rPr>
      </w:pPr>
    </w:p>
    <w:p w14:paraId="28F339CF" w14:textId="77777777" w:rsidR="00126DB1" w:rsidRDefault="008C2E57">
      <w:pPr>
        <w:pStyle w:val="Paragraphedeliste"/>
        <w:numPr>
          <w:ilvl w:val="0"/>
          <w:numId w:val="2"/>
        </w:numPr>
        <w:shd w:val="clear" w:color="auto" w:fill="FFFFFF" w:themeFill="background1"/>
        <w:spacing w:after="120" w:line="240" w:lineRule="auto"/>
        <w:ind w:left="567"/>
        <w:jc w:val="both"/>
        <w:rPr>
          <w:rFonts w:ascii="Times New Roman" w:hAnsi="Times New Roman"/>
          <w:sz w:val="24"/>
          <w:szCs w:val="24"/>
          <w:lang w:val="fr-FR"/>
        </w:rPr>
      </w:pPr>
      <w:r>
        <w:rPr>
          <w:rFonts w:ascii="Times New Roman" w:hAnsi="Times New Roman"/>
          <w:sz w:val="24"/>
          <w:szCs w:val="24"/>
          <w:lang w:val="fr-FR"/>
        </w:rPr>
        <w:t>Et par distribution du montant du bénéfice de l’ACT-P et du TMDH selon la liste nominative des bénéficiaires à payer après l’émission d’un ordre de virement par le FID en faveur du prestataire de service, pour un montant égal à la totalité des subventions à payer par le prestataire de service.</w:t>
      </w:r>
    </w:p>
    <w:p w14:paraId="15FD929E" w14:textId="77777777" w:rsidR="00126DB1" w:rsidRDefault="00126DB1">
      <w:pPr>
        <w:pStyle w:val="Paragraphedeliste"/>
        <w:shd w:val="clear" w:color="auto" w:fill="FFFFFF" w:themeFill="background1"/>
        <w:spacing w:after="120" w:line="240" w:lineRule="auto"/>
        <w:ind w:left="0"/>
        <w:jc w:val="both"/>
        <w:rPr>
          <w:rFonts w:ascii="Times New Roman" w:hAnsi="Times New Roman"/>
          <w:sz w:val="24"/>
          <w:szCs w:val="24"/>
          <w:lang w:val="fr-FR"/>
        </w:rPr>
      </w:pPr>
    </w:p>
    <w:p w14:paraId="3BEE77C3" w14:textId="77777777" w:rsidR="00126DB1" w:rsidRDefault="008C2E57">
      <w:pPr>
        <w:pStyle w:val="Paragraphedeliste"/>
        <w:numPr>
          <w:ilvl w:val="0"/>
          <w:numId w:val="8"/>
        </w:numPr>
        <w:shd w:val="clear" w:color="auto" w:fill="FFFFFF" w:themeFill="background1"/>
        <w:spacing w:after="120" w:line="240" w:lineRule="auto"/>
        <w:ind w:right="567"/>
        <w:jc w:val="both"/>
        <w:rPr>
          <w:rFonts w:ascii="Times New Roman" w:hAnsi="Times New Roman"/>
          <w:sz w:val="24"/>
          <w:szCs w:val="24"/>
          <w:lang w:val="fr-FR"/>
        </w:rPr>
      </w:pPr>
      <w:r>
        <w:rPr>
          <w:rFonts w:ascii="Times New Roman" w:hAnsi="Times New Roman"/>
          <w:sz w:val="24"/>
          <w:szCs w:val="24"/>
          <w:lang w:val="fr-FR"/>
        </w:rPr>
        <w:t>Avant les premiers transferts, le prestataire de service offrira, pour chaque Fokontany, une formation aux bénéficiaires sur le mode de paiement et tout le processus qui l'accompagne</w:t>
      </w:r>
      <w:r>
        <w:rPr>
          <w:rFonts w:ascii="Times New Roman" w:hAnsi="Times New Roman"/>
          <w:color w:val="FF0000"/>
          <w:sz w:val="24"/>
          <w:szCs w:val="24"/>
          <w:lang w:val="fr-FR"/>
        </w:rPr>
        <w:t>.</w:t>
      </w:r>
    </w:p>
    <w:p w14:paraId="46754ECD" w14:textId="77777777" w:rsidR="00126DB1" w:rsidRDefault="00126DB1">
      <w:pPr>
        <w:pStyle w:val="Paragraphedeliste"/>
        <w:shd w:val="clear" w:color="auto" w:fill="FFFFFF" w:themeFill="background1"/>
        <w:spacing w:after="120" w:line="240" w:lineRule="auto"/>
        <w:ind w:left="0"/>
        <w:jc w:val="both"/>
        <w:rPr>
          <w:rFonts w:ascii="Times New Roman" w:hAnsi="Times New Roman"/>
          <w:color w:val="FF0000"/>
          <w:sz w:val="24"/>
          <w:szCs w:val="24"/>
          <w:lang w:val="fr-FR"/>
        </w:rPr>
      </w:pPr>
    </w:p>
    <w:p w14:paraId="1D5CFBF2" w14:textId="424CF736" w:rsidR="00126DB1" w:rsidRDefault="008C2E57">
      <w:pPr>
        <w:pStyle w:val="Paragraphedeliste"/>
        <w:numPr>
          <w:ilvl w:val="0"/>
          <w:numId w:val="8"/>
        </w:numPr>
        <w:shd w:val="clear" w:color="auto" w:fill="FFFFFF" w:themeFill="background1"/>
        <w:spacing w:after="120" w:line="240" w:lineRule="auto"/>
        <w:jc w:val="both"/>
        <w:rPr>
          <w:rFonts w:ascii="Times New Roman" w:hAnsi="Times New Roman"/>
          <w:sz w:val="24"/>
          <w:szCs w:val="24"/>
          <w:lang w:val="fr-FR"/>
        </w:rPr>
      </w:pPr>
      <w:proofErr w:type="gramStart"/>
      <w:r>
        <w:rPr>
          <w:rFonts w:ascii="Times New Roman" w:hAnsi="Times New Roman"/>
          <w:sz w:val="24"/>
          <w:szCs w:val="24"/>
          <w:lang w:val="fr-FR"/>
        </w:rPr>
        <w:t xml:space="preserve">Le  </w:t>
      </w:r>
      <w:r w:rsidR="00C67463">
        <w:rPr>
          <w:rFonts w:ascii="Times New Roman" w:hAnsi="Times New Roman"/>
          <w:sz w:val="24"/>
          <w:szCs w:val="24"/>
          <w:lang w:val="fr-FR"/>
        </w:rPr>
        <w:t>Prestataire</w:t>
      </w:r>
      <w:proofErr w:type="gramEnd"/>
      <w:r w:rsidR="00C67463">
        <w:rPr>
          <w:rFonts w:ascii="Times New Roman" w:hAnsi="Times New Roman"/>
          <w:sz w:val="24"/>
          <w:szCs w:val="24"/>
          <w:lang w:val="fr-FR"/>
        </w:rPr>
        <w:t xml:space="preserve"> </w:t>
      </w:r>
      <w:r>
        <w:rPr>
          <w:rFonts w:ascii="Times New Roman" w:hAnsi="Times New Roman"/>
          <w:sz w:val="24"/>
          <w:szCs w:val="24"/>
          <w:lang w:val="fr-FR"/>
        </w:rPr>
        <w:t xml:space="preserve">de </w:t>
      </w:r>
      <w:r w:rsidR="00C67463">
        <w:rPr>
          <w:rFonts w:ascii="Times New Roman" w:hAnsi="Times New Roman"/>
          <w:sz w:val="24"/>
          <w:szCs w:val="24"/>
          <w:lang w:val="fr-FR"/>
        </w:rPr>
        <w:t xml:space="preserve">Service </w:t>
      </w:r>
      <w:r>
        <w:rPr>
          <w:rFonts w:ascii="Times New Roman" w:hAnsi="Times New Roman"/>
          <w:sz w:val="24"/>
          <w:szCs w:val="24"/>
          <w:lang w:val="fr-FR"/>
        </w:rPr>
        <w:t>effectuera le paiement aux bénéficiaires à la date précise définie par les deux parties qui se situe au maximum 07 jours ouvrables après la réception du transfert global effectué par le FID.</w:t>
      </w:r>
    </w:p>
    <w:p w14:paraId="133A34DB" w14:textId="77777777" w:rsidR="00126DB1" w:rsidRDefault="00126DB1">
      <w:pPr>
        <w:pStyle w:val="Paragraphedeliste"/>
        <w:rPr>
          <w:rFonts w:ascii="Times New Roman" w:hAnsi="Times New Roman"/>
          <w:sz w:val="24"/>
          <w:szCs w:val="24"/>
          <w:lang w:val="fr-FR"/>
        </w:rPr>
      </w:pPr>
    </w:p>
    <w:p w14:paraId="3B0A630A" w14:textId="34FE708F" w:rsidR="00126DB1" w:rsidRDefault="008C2E57">
      <w:pPr>
        <w:pStyle w:val="Paragraphedeliste"/>
        <w:numPr>
          <w:ilvl w:val="0"/>
          <w:numId w:val="8"/>
        </w:numPr>
        <w:shd w:val="clear" w:color="auto" w:fill="FFFFFF" w:themeFill="background1"/>
        <w:jc w:val="both"/>
        <w:rPr>
          <w:rFonts w:ascii="Times New Roman" w:hAnsi="Times New Roman"/>
          <w:sz w:val="24"/>
          <w:szCs w:val="24"/>
          <w:lang w:val="fr-FR"/>
        </w:rPr>
      </w:pPr>
      <w:r>
        <w:rPr>
          <w:rFonts w:ascii="Times New Roman" w:hAnsi="Times New Roman"/>
          <w:sz w:val="24"/>
          <w:szCs w:val="24"/>
          <w:lang w:val="fr-FR"/>
        </w:rPr>
        <w:t xml:space="preserve">Le </w:t>
      </w:r>
      <w:r w:rsidR="00C67463">
        <w:rPr>
          <w:rFonts w:ascii="Times New Roman" w:hAnsi="Times New Roman"/>
          <w:sz w:val="24"/>
          <w:szCs w:val="24"/>
          <w:lang w:val="fr-FR"/>
        </w:rPr>
        <w:t>P</w:t>
      </w:r>
      <w:r w:rsidR="002C20E9">
        <w:rPr>
          <w:rFonts w:ascii="Times New Roman" w:hAnsi="Times New Roman"/>
          <w:sz w:val="24"/>
          <w:szCs w:val="24"/>
          <w:lang w:val="fr-FR"/>
        </w:rPr>
        <w:t xml:space="preserve">restataire </w:t>
      </w:r>
      <w:r>
        <w:rPr>
          <w:rFonts w:ascii="Times New Roman" w:hAnsi="Times New Roman"/>
          <w:sz w:val="24"/>
          <w:szCs w:val="24"/>
          <w:lang w:val="fr-FR"/>
        </w:rPr>
        <w:t xml:space="preserve">de </w:t>
      </w:r>
      <w:r w:rsidR="00C67463">
        <w:rPr>
          <w:rFonts w:ascii="Times New Roman" w:hAnsi="Times New Roman"/>
          <w:sz w:val="24"/>
          <w:szCs w:val="24"/>
          <w:lang w:val="fr-FR"/>
        </w:rPr>
        <w:t xml:space="preserve">Service </w:t>
      </w:r>
      <w:r>
        <w:rPr>
          <w:rFonts w:ascii="Times New Roman" w:hAnsi="Times New Roman"/>
          <w:sz w:val="24"/>
          <w:szCs w:val="24"/>
          <w:lang w:val="fr-FR"/>
        </w:rPr>
        <w:t>suivra le planning de paiement envoyé par la Direction Inter Régionale. Des horaires spécifiques seront suivis aussi pour assurer la sécurité des bénéficiaires selon le degré de sécurité des sites de paiement.</w:t>
      </w:r>
    </w:p>
    <w:p w14:paraId="18865A4A" w14:textId="77777777" w:rsidR="00126DB1" w:rsidRDefault="00126DB1" w:rsidP="00C451A4">
      <w:pPr>
        <w:pStyle w:val="Paragraphedeliste"/>
        <w:shd w:val="clear" w:color="auto" w:fill="FFFFFF" w:themeFill="background1"/>
        <w:jc w:val="both"/>
        <w:rPr>
          <w:rFonts w:ascii="Times New Roman" w:hAnsi="Times New Roman"/>
          <w:sz w:val="24"/>
          <w:szCs w:val="24"/>
          <w:lang w:val="fr-FR"/>
        </w:rPr>
      </w:pPr>
    </w:p>
    <w:p w14:paraId="754292AF" w14:textId="1ED6D02A" w:rsidR="00126DB1" w:rsidRPr="00C451A4" w:rsidRDefault="008C2E57" w:rsidP="00C451A4">
      <w:pPr>
        <w:pStyle w:val="Paragraphedeliste"/>
        <w:numPr>
          <w:ilvl w:val="0"/>
          <w:numId w:val="8"/>
        </w:numPr>
        <w:shd w:val="clear" w:color="auto" w:fill="FFFFFF" w:themeFill="background1"/>
        <w:jc w:val="both"/>
        <w:rPr>
          <w:rFonts w:ascii="Times New Roman" w:hAnsi="Times New Roman"/>
          <w:sz w:val="24"/>
          <w:szCs w:val="24"/>
          <w:lang w:val="fr-FR"/>
        </w:rPr>
      </w:pPr>
      <w:r>
        <w:rPr>
          <w:rFonts w:ascii="Times New Roman" w:hAnsi="Times New Roman"/>
          <w:sz w:val="24"/>
          <w:szCs w:val="24"/>
          <w:lang w:val="fr-FR"/>
        </w:rPr>
        <w:t xml:space="preserve">Le </w:t>
      </w:r>
      <w:r w:rsidR="00C67463">
        <w:rPr>
          <w:rFonts w:ascii="Times New Roman" w:hAnsi="Times New Roman"/>
          <w:sz w:val="24"/>
          <w:szCs w:val="24"/>
          <w:lang w:val="fr-FR"/>
        </w:rPr>
        <w:t xml:space="preserve">Prestataire </w:t>
      </w:r>
      <w:r>
        <w:rPr>
          <w:rFonts w:ascii="Times New Roman" w:hAnsi="Times New Roman"/>
          <w:sz w:val="24"/>
          <w:szCs w:val="24"/>
          <w:lang w:val="fr-FR"/>
        </w:rPr>
        <w:t xml:space="preserve">de </w:t>
      </w:r>
      <w:r w:rsidR="00C67463">
        <w:rPr>
          <w:rFonts w:ascii="Times New Roman" w:hAnsi="Times New Roman"/>
          <w:sz w:val="24"/>
          <w:szCs w:val="24"/>
          <w:lang w:val="fr-FR"/>
        </w:rPr>
        <w:t xml:space="preserve">Service </w:t>
      </w:r>
      <w:r>
        <w:rPr>
          <w:rFonts w:ascii="Times New Roman" w:hAnsi="Times New Roman"/>
          <w:sz w:val="24"/>
          <w:szCs w:val="24"/>
          <w:lang w:val="fr-FR"/>
        </w:rPr>
        <w:t xml:space="preserve">devra mentionner dans le livret FID de chaque bénéficiaire le montant de </w:t>
      </w:r>
      <w:proofErr w:type="gramStart"/>
      <w:r>
        <w:rPr>
          <w:rFonts w:ascii="Times New Roman" w:hAnsi="Times New Roman"/>
          <w:sz w:val="24"/>
          <w:szCs w:val="24"/>
          <w:lang w:val="fr-FR"/>
        </w:rPr>
        <w:t>chaque  transfert</w:t>
      </w:r>
      <w:proofErr w:type="gramEnd"/>
      <w:r>
        <w:rPr>
          <w:rFonts w:ascii="Times New Roman" w:hAnsi="Times New Roman"/>
          <w:sz w:val="24"/>
          <w:szCs w:val="24"/>
          <w:lang w:val="fr-FR"/>
        </w:rPr>
        <w:t xml:space="preserve"> de paiement reçus, la date de paiement avec tampon et paraphe de l’agent payeur. Cela suppose que chaque bénéficiaire doit passer au niveau de la caisse pour émarger sur la liste définitive établie par le FID. Le </w:t>
      </w:r>
      <w:r w:rsidR="00C67463">
        <w:rPr>
          <w:rFonts w:ascii="Times New Roman" w:hAnsi="Times New Roman"/>
          <w:sz w:val="24"/>
          <w:szCs w:val="24"/>
          <w:lang w:val="fr-FR"/>
        </w:rPr>
        <w:t xml:space="preserve">Prestataire </w:t>
      </w:r>
      <w:r>
        <w:rPr>
          <w:rFonts w:ascii="Times New Roman" w:hAnsi="Times New Roman"/>
          <w:sz w:val="24"/>
          <w:szCs w:val="24"/>
          <w:lang w:val="fr-FR"/>
        </w:rPr>
        <w:t xml:space="preserve">de </w:t>
      </w:r>
      <w:r w:rsidR="00C67463">
        <w:rPr>
          <w:rFonts w:ascii="Times New Roman" w:hAnsi="Times New Roman"/>
          <w:sz w:val="24"/>
          <w:szCs w:val="24"/>
          <w:lang w:val="fr-FR"/>
        </w:rPr>
        <w:t xml:space="preserve">Service </w:t>
      </w:r>
      <w:r>
        <w:rPr>
          <w:rFonts w:ascii="Times New Roman" w:hAnsi="Times New Roman"/>
          <w:sz w:val="24"/>
          <w:szCs w:val="24"/>
          <w:lang w:val="fr-FR"/>
        </w:rPr>
        <w:t>payeur transcrira ce montant dans le livret à titre de reçu de paiement</w:t>
      </w:r>
      <w:proofErr w:type="gramStart"/>
      <w:r>
        <w:rPr>
          <w:rFonts w:ascii="Times New Roman" w:hAnsi="Times New Roman"/>
          <w:sz w:val="24"/>
          <w:szCs w:val="24"/>
          <w:lang w:val="fr-FR"/>
        </w:rPr>
        <w:t>.</w:t>
      </w:r>
      <w:r w:rsidR="002C20E9" w:rsidRPr="00C451A4">
        <w:rPr>
          <w:rFonts w:ascii="Times New Roman" w:hAnsi="Times New Roman"/>
          <w:sz w:val="24"/>
          <w:szCs w:val="24"/>
          <w:lang w:val="fr-FR"/>
        </w:rPr>
        <w:t xml:space="preserve"> </w:t>
      </w:r>
      <w:r w:rsidR="002C20E9" w:rsidRPr="002C20E9">
        <w:rPr>
          <w:rFonts w:ascii="Times New Roman" w:hAnsi="Times New Roman"/>
          <w:sz w:val="24"/>
          <w:szCs w:val="24"/>
          <w:lang w:val="fr-FR"/>
        </w:rPr>
        <w:t>.</w:t>
      </w:r>
      <w:proofErr w:type="gramEnd"/>
      <w:r w:rsidR="002C20E9" w:rsidRPr="002C20E9">
        <w:rPr>
          <w:rFonts w:ascii="Times New Roman" w:hAnsi="Times New Roman"/>
          <w:sz w:val="24"/>
          <w:szCs w:val="24"/>
          <w:lang w:val="fr-FR"/>
        </w:rPr>
        <w:t xml:space="preserve"> C’est le livret ainsi visé qui est la preuve de l’effectivité du paiement.</w:t>
      </w:r>
    </w:p>
    <w:p w14:paraId="1602408F" w14:textId="77777777" w:rsidR="00126DB1" w:rsidRDefault="00126DB1">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4"/>
          <w:szCs w:val="24"/>
          <w:lang w:val="fr-FR"/>
        </w:rPr>
      </w:pPr>
    </w:p>
    <w:p w14:paraId="6F736086" w14:textId="43D3D340" w:rsidR="00126DB1" w:rsidRDefault="008C2E57">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4"/>
          <w:szCs w:val="24"/>
          <w:lang w:val="fr-FR"/>
        </w:rPr>
      </w:pPr>
      <w:r>
        <w:rPr>
          <w:rFonts w:ascii="Times New Roman" w:hAnsi="Times New Roman"/>
          <w:sz w:val="24"/>
          <w:szCs w:val="24"/>
          <w:lang w:val="fr-FR"/>
        </w:rPr>
        <w:t xml:space="preserve">Le </w:t>
      </w:r>
      <w:r w:rsidR="00C67463">
        <w:rPr>
          <w:rFonts w:ascii="Times New Roman" w:hAnsi="Times New Roman"/>
          <w:sz w:val="24"/>
          <w:szCs w:val="24"/>
          <w:lang w:val="fr-FR"/>
        </w:rPr>
        <w:t xml:space="preserve">Prestataire </w:t>
      </w:r>
      <w:r>
        <w:rPr>
          <w:rFonts w:ascii="Times New Roman" w:hAnsi="Times New Roman"/>
          <w:sz w:val="24"/>
          <w:szCs w:val="24"/>
          <w:lang w:val="fr-FR"/>
        </w:rPr>
        <w:t xml:space="preserve">de </w:t>
      </w:r>
      <w:r w:rsidR="00C67463">
        <w:rPr>
          <w:rFonts w:ascii="Times New Roman" w:hAnsi="Times New Roman"/>
          <w:sz w:val="24"/>
          <w:szCs w:val="24"/>
          <w:lang w:val="fr-FR"/>
        </w:rPr>
        <w:t xml:space="preserve">Service </w:t>
      </w:r>
      <w:r>
        <w:rPr>
          <w:rFonts w:ascii="Times New Roman" w:hAnsi="Times New Roman"/>
          <w:sz w:val="24"/>
          <w:szCs w:val="24"/>
          <w:lang w:val="fr-FR"/>
        </w:rPr>
        <w:t>doit effectuer en totalité le paiement de la somme inscrite dans l’état de paiement en provenance du FID sauf notification du FID pour certains ménages.</w:t>
      </w:r>
    </w:p>
    <w:p w14:paraId="384AE5D2" w14:textId="77777777" w:rsidR="00126DB1" w:rsidRDefault="00126DB1">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425"/>
        <w:jc w:val="both"/>
        <w:rPr>
          <w:rFonts w:ascii="Times New Roman" w:hAnsi="Times New Roman"/>
          <w:sz w:val="24"/>
          <w:szCs w:val="24"/>
          <w:lang w:val="fr-FR"/>
        </w:rPr>
      </w:pPr>
    </w:p>
    <w:p w14:paraId="2C5F8DEB" w14:textId="77777777" w:rsidR="00126DB1" w:rsidRDefault="008C2E57">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4"/>
          <w:szCs w:val="24"/>
          <w:lang w:val="fr-FR"/>
        </w:rPr>
      </w:pPr>
      <w:r>
        <w:rPr>
          <w:rFonts w:ascii="Times New Roman" w:hAnsi="Times New Roman"/>
          <w:sz w:val="24"/>
          <w:szCs w:val="24"/>
          <w:lang w:val="fr-FR"/>
        </w:rPr>
        <w:lastRenderedPageBreak/>
        <w:t>En cas d’indisponibilité du bénéficiaire au moment de la date prévue de paiement, le prestataire de service cumulera le montant non perçu au prochain paiement du bénéficiaire concerné.</w:t>
      </w:r>
    </w:p>
    <w:p w14:paraId="68D44809" w14:textId="77777777" w:rsidR="00126DB1" w:rsidRDefault="00126DB1">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425"/>
        <w:jc w:val="both"/>
        <w:rPr>
          <w:rFonts w:ascii="Times New Roman" w:hAnsi="Times New Roman"/>
          <w:sz w:val="24"/>
          <w:szCs w:val="24"/>
          <w:lang w:val="fr-FR"/>
        </w:rPr>
      </w:pPr>
    </w:p>
    <w:p w14:paraId="32DC6F0A" w14:textId="77777777" w:rsidR="00126DB1" w:rsidRDefault="008C2E57">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4"/>
          <w:szCs w:val="24"/>
          <w:lang w:val="fr-FR"/>
        </w:rPr>
      </w:pPr>
      <w:r>
        <w:rPr>
          <w:rFonts w:ascii="Times New Roman" w:hAnsi="Times New Roman"/>
          <w:sz w:val="24"/>
          <w:szCs w:val="24"/>
          <w:lang w:val="fr-FR"/>
        </w:rPr>
        <w:t>Toutefois, après chaque paiement, le prestataire reversera dans le compte du FID les reliquats non payés après l’approbation des rapports intermédiaire et final et après la signature du bilan technico-financier (BTF) par le FID et le prestataire.</w:t>
      </w:r>
    </w:p>
    <w:p w14:paraId="4D9CB071" w14:textId="305C10D2" w:rsidR="00126DB1" w:rsidRDefault="008C2E57">
      <w:pPr>
        <w:shd w:val="clear" w:color="auto" w:fill="FFFFFF" w:themeFill="background1"/>
        <w:spacing w:after="120"/>
      </w:pPr>
      <w:r>
        <w:t xml:space="preserve">Le </w:t>
      </w:r>
      <w:r w:rsidR="00C67463">
        <w:t xml:space="preserve">Prestataire </w:t>
      </w:r>
      <w:r>
        <w:t xml:space="preserve">précisera dans sa méthodologie le traitement des cas suivants : </w:t>
      </w:r>
    </w:p>
    <w:p w14:paraId="0F29C8C7" w14:textId="77777777" w:rsidR="00126DB1" w:rsidRDefault="008C2E57">
      <w:pPr>
        <w:numPr>
          <w:ilvl w:val="0"/>
          <w:numId w:val="1"/>
        </w:numPr>
        <w:shd w:val="clear" w:color="auto" w:fill="FFFFFF" w:themeFill="background1"/>
        <w:tabs>
          <w:tab w:val="left" w:pos="1068"/>
        </w:tabs>
        <w:spacing w:after="120"/>
        <w:ind w:left="1068"/>
      </w:pPr>
      <w:r>
        <w:t>Des pertes ou usure des livrets,</w:t>
      </w:r>
    </w:p>
    <w:p w14:paraId="367A5711" w14:textId="77777777" w:rsidR="00126DB1" w:rsidRDefault="008C2E57">
      <w:pPr>
        <w:numPr>
          <w:ilvl w:val="0"/>
          <w:numId w:val="1"/>
        </w:numPr>
        <w:shd w:val="clear" w:color="auto" w:fill="FFFFFF" w:themeFill="background1"/>
        <w:tabs>
          <w:tab w:val="left" w:pos="1068"/>
        </w:tabs>
        <w:spacing w:after="120"/>
        <w:ind w:left="1068"/>
      </w:pPr>
      <w:r>
        <w:t>Intégration en cours de contrat de nouveaux bénéficiaires.</w:t>
      </w:r>
    </w:p>
    <w:p w14:paraId="0E6AF840" w14:textId="5BC0AD66" w:rsidR="00126DB1" w:rsidRDefault="008C2E57">
      <w:pPr>
        <w:shd w:val="clear" w:color="auto" w:fill="FFFFFF" w:themeFill="background1"/>
        <w:spacing w:after="120"/>
      </w:pPr>
      <w:r>
        <w:t xml:space="preserve">Le </w:t>
      </w:r>
      <w:r w:rsidR="00C67463">
        <w:t xml:space="preserve">Prestataire </w:t>
      </w:r>
      <w:r>
        <w:t>proposera dans son offre sa méthodologie de traitement des erreurs liés aux paiements telles que :</w:t>
      </w:r>
    </w:p>
    <w:p w14:paraId="38C27742" w14:textId="77777777" w:rsidR="00126DB1" w:rsidRDefault="008C2E57">
      <w:pPr>
        <w:numPr>
          <w:ilvl w:val="0"/>
          <w:numId w:val="7"/>
        </w:numPr>
        <w:shd w:val="clear" w:color="auto" w:fill="FFFFFF" w:themeFill="background1"/>
        <w:spacing w:after="120"/>
      </w:pPr>
      <w:r>
        <w:t>En cas de surplus ou de manque dans les fonds à être payés aux bénéficiaires ;</w:t>
      </w:r>
    </w:p>
    <w:p w14:paraId="1765E7CF" w14:textId="77777777" w:rsidR="00126DB1" w:rsidRDefault="008C2E57">
      <w:pPr>
        <w:numPr>
          <w:ilvl w:val="0"/>
          <w:numId w:val="7"/>
        </w:numPr>
        <w:shd w:val="clear" w:color="auto" w:fill="FFFFFF" w:themeFill="background1"/>
        <w:spacing w:after="120"/>
      </w:pPr>
      <w:r>
        <w:t>En cas d’erreur de montant inscrit dans l’état de paiement.</w:t>
      </w:r>
    </w:p>
    <w:p w14:paraId="3B7AB8F5" w14:textId="09C90AF5" w:rsidR="00126DB1" w:rsidRDefault="008C2E57">
      <w:pPr>
        <w:shd w:val="clear" w:color="auto" w:fill="FFFFFF" w:themeFill="background1"/>
        <w:spacing w:after="120"/>
      </w:pPr>
      <w:r>
        <w:t xml:space="preserve">Le </w:t>
      </w:r>
      <w:r w:rsidR="00C67463">
        <w:t xml:space="preserve">Prestataire </w:t>
      </w:r>
      <w:r>
        <w:t>définira dans son offre sa méthodologie de sécurisation des fonds vers les lieux de paiement des bénéficiaires.</w:t>
      </w:r>
    </w:p>
    <w:p w14:paraId="6E1650CA" w14:textId="00B617DF" w:rsidR="00126DB1" w:rsidRDefault="008C2E57">
      <w:pPr>
        <w:shd w:val="clear" w:color="auto" w:fill="FFFFFF" w:themeFill="background1"/>
        <w:spacing w:after="120"/>
      </w:pPr>
      <w:r>
        <w:t xml:space="preserve">Le </w:t>
      </w:r>
      <w:r w:rsidR="00C67463">
        <w:t xml:space="preserve">Prestataire </w:t>
      </w:r>
      <w:r>
        <w:t xml:space="preserve">intégrera et prévoira dans son offre tout frais relatif à l'acheminement et la sécurisation des </w:t>
      </w:r>
      <w:proofErr w:type="gramStart"/>
      <w:r>
        <w:t>fonds  vers</w:t>
      </w:r>
      <w:proofErr w:type="gramEnd"/>
      <w:r>
        <w:t xml:space="preserve"> les lieux de paiement des bénéficiaires et pendant la distribution. </w:t>
      </w:r>
    </w:p>
    <w:p w14:paraId="692641A7" w14:textId="77777777" w:rsidR="00126DB1" w:rsidRDefault="008C2E57">
      <w:pPr>
        <w:shd w:val="clear" w:color="auto" w:fill="FFFFFF" w:themeFill="background1"/>
        <w:spacing w:after="120"/>
      </w:pPr>
      <w:r>
        <w:t xml:space="preserve">En cas d’indisponibilité temporaire (maladie, raison </w:t>
      </w:r>
      <w:proofErr w:type="gramStart"/>
      <w:r>
        <w:t>professionnelle,..</w:t>
      </w:r>
      <w:proofErr w:type="gramEnd"/>
      <w:r>
        <w:t>) ou définitive (décès) du récepteur inscrit dans la liste nominative initialement fournie par le FID, ce dernier informera le prestataire de tout changement pour les régularisations nécessaires. La modification de la liste des bénéficiaires sera faite uniquement par le FID.</w:t>
      </w:r>
    </w:p>
    <w:p w14:paraId="7BB18FA3" w14:textId="7C8F07D4" w:rsidR="00126DB1" w:rsidRDefault="008C2E57">
      <w:pPr>
        <w:pStyle w:val="Paragraphedeliste"/>
        <w:numPr>
          <w:ilvl w:val="0"/>
          <w:numId w:val="8"/>
        </w:numPr>
        <w:spacing w:after="120" w:line="240" w:lineRule="auto"/>
        <w:jc w:val="both"/>
      </w:pPr>
      <w:r>
        <w:rPr>
          <w:rFonts w:ascii="Times New Roman" w:eastAsia="Times New Roman" w:hAnsi="Times New Roman"/>
          <w:sz w:val="24"/>
          <w:szCs w:val="24"/>
          <w:lang w:val="fr-FR" w:eastAsia="fr-FR"/>
        </w:rPr>
        <w:t xml:space="preserve">Le </w:t>
      </w:r>
      <w:r w:rsidR="00C67463">
        <w:rPr>
          <w:rFonts w:ascii="Times New Roman" w:eastAsia="Times New Roman" w:hAnsi="Times New Roman"/>
          <w:sz w:val="24"/>
          <w:szCs w:val="24"/>
          <w:lang w:val="fr-FR" w:eastAsia="fr-FR"/>
        </w:rPr>
        <w:t>P</w:t>
      </w:r>
      <w:r w:rsidR="006E0A70">
        <w:rPr>
          <w:rFonts w:ascii="Times New Roman" w:eastAsia="Times New Roman" w:hAnsi="Times New Roman"/>
          <w:sz w:val="24"/>
          <w:szCs w:val="24"/>
          <w:lang w:val="fr-FR" w:eastAsia="fr-FR"/>
        </w:rPr>
        <w:t xml:space="preserve">restataire </w:t>
      </w:r>
      <w:r>
        <w:rPr>
          <w:rFonts w:ascii="Times New Roman" w:eastAsia="Times New Roman" w:hAnsi="Times New Roman"/>
          <w:sz w:val="24"/>
          <w:szCs w:val="24"/>
          <w:lang w:val="fr-FR" w:eastAsia="fr-FR"/>
        </w:rPr>
        <w:t xml:space="preserve">de </w:t>
      </w:r>
      <w:r w:rsidR="00C67463">
        <w:rPr>
          <w:rFonts w:ascii="Times New Roman" w:eastAsia="Times New Roman" w:hAnsi="Times New Roman"/>
          <w:sz w:val="24"/>
          <w:szCs w:val="24"/>
          <w:lang w:val="fr-FR" w:eastAsia="fr-FR"/>
        </w:rPr>
        <w:t xml:space="preserve">Service </w:t>
      </w:r>
      <w:r>
        <w:rPr>
          <w:rFonts w:ascii="Times New Roman" w:eastAsia="Times New Roman" w:hAnsi="Times New Roman"/>
          <w:sz w:val="24"/>
          <w:szCs w:val="24"/>
          <w:lang w:val="fr-FR" w:eastAsia="fr-FR"/>
        </w:rPr>
        <w:t>devra organiser les paiements de sorte que les bénéficiaires n´attendent pas plus de deux heures à partir de l’heure de début prévue. Plus particulièrement, le prestataire observera les conditions suivantes :</w:t>
      </w:r>
    </w:p>
    <w:p w14:paraId="65E05699" w14:textId="77777777" w:rsidR="00126DB1" w:rsidRDefault="008C2E57">
      <w:pPr>
        <w:pStyle w:val="Paragraphedeliste"/>
        <w:numPr>
          <w:ilvl w:val="1"/>
          <w:numId w:val="8"/>
        </w:numPr>
        <w:spacing w:after="120" w:line="240" w:lineRule="auto"/>
        <w:jc w:val="both"/>
        <w:rPr>
          <w:rFonts w:ascii="Times New Roman" w:eastAsia="Times New Roman" w:hAnsi="Times New Roman"/>
          <w:sz w:val="24"/>
          <w:szCs w:val="24"/>
          <w:lang w:val="fr-FR" w:eastAsia="fr-FR"/>
        </w:rPr>
      </w:pPr>
      <w:r>
        <w:rPr>
          <w:rFonts w:ascii="Times New Roman" w:eastAsia="Times New Roman" w:hAnsi="Times New Roman"/>
          <w:sz w:val="24"/>
          <w:szCs w:val="24"/>
          <w:lang w:val="fr-FR" w:eastAsia="fr-FR"/>
        </w:rPr>
        <w:t>Avoir le nombre suffisants d´outils de paiement (exemple : tampon, encreur</w:t>
      </w:r>
      <w:proofErr w:type="gramStart"/>
      <w:r>
        <w:rPr>
          <w:rFonts w:ascii="Times New Roman" w:eastAsia="Times New Roman" w:hAnsi="Times New Roman"/>
          <w:sz w:val="24"/>
          <w:szCs w:val="24"/>
          <w:lang w:val="fr-FR" w:eastAsia="fr-FR"/>
        </w:rPr>
        <w:t xml:space="preserve"> ….</w:t>
      </w:r>
      <w:proofErr w:type="gramEnd"/>
      <w:r>
        <w:rPr>
          <w:rFonts w:ascii="Times New Roman" w:eastAsia="Times New Roman" w:hAnsi="Times New Roman"/>
          <w:sz w:val="24"/>
          <w:szCs w:val="24"/>
          <w:lang w:val="fr-FR" w:eastAsia="fr-FR"/>
        </w:rPr>
        <w:t>.)</w:t>
      </w:r>
    </w:p>
    <w:p w14:paraId="6A672B7B" w14:textId="162C3C4A" w:rsidR="00126DB1" w:rsidRDefault="008C2E57">
      <w:pPr>
        <w:pStyle w:val="Paragraphedeliste"/>
        <w:numPr>
          <w:ilvl w:val="1"/>
          <w:numId w:val="8"/>
        </w:numPr>
        <w:spacing w:after="120" w:line="240" w:lineRule="auto"/>
        <w:jc w:val="both"/>
        <w:rPr>
          <w:rFonts w:ascii="Times New Roman" w:eastAsia="Times New Roman" w:hAnsi="Times New Roman"/>
          <w:sz w:val="24"/>
          <w:szCs w:val="24"/>
          <w:lang w:val="fr-FR" w:eastAsia="fr-FR"/>
        </w:rPr>
      </w:pPr>
      <w:r>
        <w:rPr>
          <w:rFonts w:ascii="Times New Roman" w:eastAsia="Times New Roman" w:hAnsi="Times New Roman"/>
          <w:sz w:val="24"/>
          <w:szCs w:val="24"/>
          <w:lang w:val="fr-FR" w:eastAsia="fr-FR"/>
        </w:rPr>
        <w:t>Avoir le nombre suffisant de caissiers en fonction du nombre de bénéficiaires (</w:t>
      </w:r>
      <w:r w:rsidR="00681A78">
        <w:rPr>
          <w:rFonts w:ascii="Times New Roman" w:eastAsia="Times New Roman" w:hAnsi="Times New Roman"/>
          <w:sz w:val="24"/>
          <w:szCs w:val="24"/>
          <w:lang w:val="fr-FR" w:eastAsia="fr-FR"/>
        </w:rPr>
        <w:t>maximum 100 bénéficiaires par caisse</w:t>
      </w:r>
      <w:r>
        <w:rPr>
          <w:rFonts w:ascii="Times New Roman" w:eastAsia="Times New Roman" w:hAnsi="Times New Roman"/>
          <w:sz w:val="24"/>
          <w:szCs w:val="24"/>
          <w:lang w:val="fr-FR" w:eastAsia="fr-FR"/>
        </w:rPr>
        <w:t>)</w:t>
      </w:r>
    </w:p>
    <w:p w14:paraId="12FC1036" w14:textId="77777777" w:rsidR="00126DB1" w:rsidRDefault="008C2E57">
      <w:pPr>
        <w:pStyle w:val="Paragraphedeliste"/>
        <w:numPr>
          <w:ilvl w:val="1"/>
          <w:numId w:val="8"/>
        </w:numPr>
        <w:spacing w:after="120" w:line="240" w:lineRule="auto"/>
        <w:jc w:val="both"/>
        <w:rPr>
          <w:rFonts w:ascii="Times New Roman" w:eastAsia="Times New Roman" w:hAnsi="Times New Roman"/>
          <w:sz w:val="24"/>
          <w:szCs w:val="24"/>
          <w:lang w:val="fr-FR" w:eastAsia="fr-FR"/>
        </w:rPr>
      </w:pPr>
      <w:r>
        <w:rPr>
          <w:rFonts w:ascii="Times New Roman" w:eastAsia="Times New Roman" w:hAnsi="Times New Roman"/>
          <w:sz w:val="24"/>
          <w:szCs w:val="24"/>
          <w:lang w:val="fr-FR" w:eastAsia="fr-FR"/>
        </w:rPr>
        <w:t>Le paiement se fera en respectant l´ordre d´arrivée des bénéficiaires tout en observant la priorité aux : inaptes, femmes enceintes, femmes avec bébé et les personnes très âgées, ainsi que les femmes par rapport aux hommes</w:t>
      </w:r>
    </w:p>
    <w:p w14:paraId="6B06AB20" w14:textId="77777777" w:rsidR="00126DB1" w:rsidRDefault="00126DB1">
      <w:pPr>
        <w:pStyle w:val="Paragraphedeliste"/>
        <w:spacing w:after="120" w:line="240" w:lineRule="auto"/>
        <w:ind w:left="2880"/>
        <w:jc w:val="both"/>
        <w:rPr>
          <w:rFonts w:ascii="Times New Roman" w:eastAsia="Times New Roman" w:hAnsi="Times New Roman"/>
          <w:sz w:val="24"/>
          <w:szCs w:val="24"/>
          <w:lang w:val="fr-FR" w:eastAsia="fr-FR"/>
        </w:rPr>
      </w:pPr>
    </w:p>
    <w:p w14:paraId="79DFDDB6" w14:textId="0942F78A" w:rsidR="00126DB1" w:rsidRDefault="008C2E57">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425"/>
        <w:jc w:val="both"/>
      </w:pPr>
      <w:r>
        <w:rPr>
          <w:rFonts w:ascii="Times New Roman" w:eastAsia="Times New Roman" w:hAnsi="Times New Roman"/>
          <w:sz w:val="24"/>
          <w:szCs w:val="24"/>
          <w:lang w:val="fr-FR" w:eastAsia="fr-FR"/>
        </w:rPr>
        <w:t xml:space="preserve">Le </w:t>
      </w:r>
      <w:r w:rsidR="00C67463">
        <w:rPr>
          <w:rFonts w:ascii="Times New Roman" w:eastAsia="Times New Roman" w:hAnsi="Times New Roman"/>
          <w:sz w:val="24"/>
          <w:szCs w:val="24"/>
          <w:lang w:val="fr-FR" w:eastAsia="fr-FR"/>
        </w:rPr>
        <w:t xml:space="preserve">Prestataire </w:t>
      </w:r>
      <w:r>
        <w:rPr>
          <w:rFonts w:ascii="Times New Roman" w:eastAsia="Times New Roman" w:hAnsi="Times New Roman"/>
          <w:sz w:val="24"/>
          <w:szCs w:val="24"/>
          <w:lang w:val="fr-FR" w:eastAsia="fr-FR"/>
        </w:rPr>
        <w:t xml:space="preserve">de </w:t>
      </w:r>
      <w:r w:rsidR="00C67463">
        <w:rPr>
          <w:rFonts w:ascii="Times New Roman" w:eastAsia="Times New Roman" w:hAnsi="Times New Roman"/>
          <w:sz w:val="24"/>
          <w:szCs w:val="24"/>
          <w:lang w:val="fr-FR" w:eastAsia="fr-FR"/>
        </w:rPr>
        <w:t xml:space="preserve">Service </w:t>
      </w:r>
      <w:r>
        <w:rPr>
          <w:rFonts w:ascii="Times New Roman" w:eastAsia="Times New Roman" w:hAnsi="Times New Roman"/>
          <w:sz w:val="24"/>
          <w:szCs w:val="24"/>
          <w:lang w:val="fr-FR" w:eastAsia="fr-FR"/>
        </w:rPr>
        <w:t xml:space="preserve">devra organiser les paiements de sorte que les bénéficiaires attendent dans des </w:t>
      </w:r>
      <w:r w:rsidR="0065579F">
        <w:rPr>
          <w:rFonts w:ascii="Times New Roman" w:eastAsia="Times New Roman" w:hAnsi="Times New Roman"/>
          <w:sz w:val="24"/>
          <w:szCs w:val="24"/>
          <w:lang w:val="fr-FR" w:eastAsia="fr-FR"/>
        </w:rPr>
        <w:t>conditions comportant</w:t>
      </w:r>
      <w:r>
        <w:rPr>
          <w:rFonts w:ascii="Times New Roman" w:eastAsia="Times New Roman" w:hAnsi="Times New Roman"/>
          <w:sz w:val="24"/>
          <w:szCs w:val="24"/>
          <w:lang w:val="fr-FR" w:eastAsia="fr-FR"/>
        </w:rPr>
        <w:t xml:space="preserve"> le confort minimal </w:t>
      </w:r>
      <w:r w:rsidR="0065579F">
        <w:rPr>
          <w:rFonts w:ascii="Times New Roman" w:eastAsia="Times New Roman" w:hAnsi="Times New Roman"/>
          <w:sz w:val="24"/>
          <w:szCs w:val="24"/>
          <w:lang w:val="fr-FR" w:eastAsia="fr-FR"/>
        </w:rPr>
        <w:t>requis (</w:t>
      </w:r>
      <w:r>
        <w:rPr>
          <w:rFonts w:ascii="Times New Roman" w:eastAsia="Times New Roman" w:hAnsi="Times New Roman"/>
          <w:sz w:val="24"/>
          <w:szCs w:val="24"/>
          <w:lang w:val="fr-FR" w:eastAsia="fr-FR"/>
        </w:rPr>
        <w:t>exemple : abri de la pluie et du soleil). Aussi le prestataire de service intégrera dans son offre la concrétisation de ces conditions (tonnelle, nattes, ...).</w:t>
      </w:r>
    </w:p>
    <w:p w14:paraId="1C498F52" w14:textId="77777777" w:rsidR="00126DB1" w:rsidRDefault="00126DB1">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425"/>
        <w:jc w:val="both"/>
        <w:rPr>
          <w:rFonts w:ascii="Times New Roman" w:eastAsia="Times New Roman" w:hAnsi="Times New Roman"/>
          <w:sz w:val="24"/>
          <w:szCs w:val="24"/>
          <w:lang w:val="fr-FR" w:eastAsia="fr-FR"/>
        </w:rPr>
      </w:pPr>
    </w:p>
    <w:p w14:paraId="4D0C0E89" w14:textId="77777777" w:rsidR="00126DB1" w:rsidRDefault="008C2E57">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425"/>
        <w:jc w:val="both"/>
        <w:rPr>
          <w:rFonts w:ascii="Times New Roman" w:eastAsia="Times New Roman" w:hAnsi="Times New Roman"/>
          <w:sz w:val="24"/>
          <w:szCs w:val="24"/>
          <w:lang w:val="fr-FR" w:eastAsia="fr-FR"/>
        </w:rPr>
      </w:pPr>
      <w:r>
        <w:rPr>
          <w:rFonts w:ascii="Times New Roman" w:eastAsia="Times New Roman" w:hAnsi="Times New Roman"/>
          <w:sz w:val="24"/>
          <w:szCs w:val="24"/>
          <w:lang w:val="fr-FR" w:eastAsia="fr-FR"/>
        </w:rPr>
        <w:t xml:space="preserve">Le transfert de fonds au prestataire se fera </w:t>
      </w:r>
      <w:proofErr w:type="gramStart"/>
      <w:r>
        <w:rPr>
          <w:rFonts w:ascii="Times New Roman" w:eastAsia="Times New Roman" w:hAnsi="Times New Roman"/>
          <w:sz w:val="24"/>
          <w:szCs w:val="24"/>
          <w:lang w:val="fr-FR" w:eastAsia="fr-FR"/>
        </w:rPr>
        <w:t>par  virement</w:t>
      </w:r>
      <w:proofErr w:type="gramEnd"/>
      <w:r>
        <w:rPr>
          <w:rFonts w:ascii="Times New Roman" w:eastAsia="Times New Roman" w:hAnsi="Times New Roman"/>
          <w:sz w:val="24"/>
          <w:szCs w:val="24"/>
          <w:lang w:val="fr-FR" w:eastAsia="fr-FR"/>
        </w:rPr>
        <w:t xml:space="preserve"> bancaire entre les comptes dédiés du Projet FID et du prestataire de service. A ce titre, le prestataire de service doit obligatoirement ouvrir, dans une banque primaire, un compte spécifique dont l’intitulé sera : </w:t>
      </w:r>
      <w:proofErr w:type="gramStart"/>
      <w:r>
        <w:rPr>
          <w:rFonts w:ascii="Times New Roman" w:eastAsia="Times New Roman" w:hAnsi="Times New Roman"/>
          <w:sz w:val="24"/>
          <w:szCs w:val="24"/>
          <w:lang w:val="fr-FR" w:eastAsia="fr-FR"/>
        </w:rPr>
        <w:t>«  FID</w:t>
      </w:r>
      <w:proofErr w:type="gramEnd"/>
      <w:r>
        <w:rPr>
          <w:rFonts w:ascii="Times New Roman" w:eastAsia="Times New Roman" w:hAnsi="Times New Roman"/>
          <w:sz w:val="24"/>
          <w:szCs w:val="24"/>
          <w:lang w:val="fr-FR" w:eastAsia="fr-FR"/>
        </w:rPr>
        <w:t>/ FSS FA2  « nom PRESTATAIRE DE SERVICE». Ce compte spécifique recevra uniquement et exclusivement les fonds virés par le FID et ne sera mouvementé que pour les activités liées aux programmes du FID</w:t>
      </w:r>
    </w:p>
    <w:p w14:paraId="62967E20" w14:textId="77777777" w:rsidR="00126DB1" w:rsidRDefault="00126DB1">
      <w:pPr>
        <w:pStyle w:val="Paragraphedeliste"/>
        <w:rPr>
          <w:rFonts w:ascii="Times New Roman" w:eastAsia="Times New Roman" w:hAnsi="Times New Roman"/>
          <w:sz w:val="24"/>
          <w:szCs w:val="24"/>
          <w:lang w:val="fr-FR" w:eastAsia="fr-FR"/>
        </w:rPr>
      </w:pPr>
    </w:p>
    <w:p w14:paraId="42718218" w14:textId="77777777" w:rsidR="00126DB1" w:rsidRDefault="008C2E57">
      <w:pPr>
        <w:pStyle w:val="Paragraphedeliste"/>
        <w:numPr>
          <w:ilvl w:val="0"/>
          <w:numId w:val="8"/>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right="567"/>
        <w:jc w:val="both"/>
        <w:rPr>
          <w:rFonts w:ascii="Times New Roman" w:hAnsi="Times New Roman"/>
          <w:sz w:val="24"/>
          <w:szCs w:val="24"/>
          <w:lang w:val="fr-FR"/>
        </w:rPr>
      </w:pPr>
      <w:r>
        <w:rPr>
          <w:rFonts w:ascii="Times New Roman" w:eastAsia="Times New Roman" w:hAnsi="Times New Roman"/>
          <w:sz w:val="24"/>
          <w:szCs w:val="24"/>
          <w:lang w:val="fr-FR" w:eastAsia="fr-FR"/>
        </w:rPr>
        <w:t xml:space="preserve">Le prestataire de service devra assurer </w:t>
      </w:r>
      <w:r>
        <w:rPr>
          <w:rFonts w:ascii="Times New Roman" w:hAnsi="Times New Roman"/>
          <w:sz w:val="24"/>
          <w:szCs w:val="24"/>
          <w:lang w:val="fr-FR"/>
        </w:rPr>
        <w:t>de la disponibilité, aux fokontany, lieux de paiement et résidences des bénéficiaires, des sommes qui lui ont été virées dans le cadre du paiement des bénéfices.</w:t>
      </w:r>
    </w:p>
    <w:p w14:paraId="2547FD4A" w14:textId="77777777" w:rsidR="00126DB1" w:rsidRDefault="00126DB1">
      <w:pPr>
        <w:shd w:val="clear" w:color="auto" w:fill="FFFFFF" w:themeFill="background1"/>
        <w:spacing w:after="120"/>
        <w:ind w:right="567"/>
      </w:pPr>
    </w:p>
    <w:p w14:paraId="512272BB" w14:textId="77777777" w:rsidR="00C67463" w:rsidRDefault="00C67463">
      <w:pPr>
        <w:shd w:val="clear" w:color="auto" w:fill="FFFFFF" w:themeFill="background1"/>
        <w:spacing w:after="120"/>
        <w:ind w:right="567"/>
      </w:pPr>
    </w:p>
    <w:p w14:paraId="55CCC3EB" w14:textId="77777777" w:rsidR="00126DB1" w:rsidRDefault="008C2E57">
      <w:pPr>
        <w:shd w:val="clear" w:color="auto" w:fill="FFFFFF" w:themeFill="background1"/>
        <w:spacing w:after="120"/>
        <w:ind w:right="567"/>
        <w:outlineLvl w:val="0"/>
        <w:rPr>
          <w:b/>
          <w:i/>
        </w:rPr>
      </w:pPr>
      <w:r>
        <w:rPr>
          <w:b/>
          <w:i/>
        </w:rPr>
        <w:tab/>
        <w:t>3.3 Zones d’intervention</w:t>
      </w:r>
    </w:p>
    <w:p w14:paraId="2B84E584" w14:textId="691F1C9B" w:rsidR="00126DB1" w:rsidRDefault="008C2E57">
      <w:pPr>
        <w:ind w:right="567"/>
      </w:pPr>
      <w:r>
        <w:t xml:space="preserve">Les activités ACT-P sont exécutées dans 07 districts </w:t>
      </w:r>
      <w:proofErr w:type="spellStart"/>
      <w:r>
        <w:t>Antanifotsy</w:t>
      </w:r>
      <w:proofErr w:type="spellEnd"/>
      <w:r>
        <w:t xml:space="preserve">, </w:t>
      </w:r>
      <w:proofErr w:type="spellStart"/>
      <w:r>
        <w:t>Isandra</w:t>
      </w:r>
      <w:proofErr w:type="spellEnd"/>
      <w:r>
        <w:t xml:space="preserve">, </w:t>
      </w:r>
      <w:proofErr w:type="spellStart"/>
      <w:r>
        <w:t>Manakara</w:t>
      </w:r>
      <w:proofErr w:type="spellEnd"/>
      <w:r>
        <w:t xml:space="preserve">, Ankazoabo, </w:t>
      </w:r>
      <w:proofErr w:type="spellStart"/>
      <w:r>
        <w:t>Vatomandry</w:t>
      </w:r>
      <w:proofErr w:type="spellEnd"/>
      <w:r>
        <w:t xml:space="preserve">, </w:t>
      </w:r>
      <w:proofErr w:type="spellStart"/>
      <w:r w:rsidR="00681A78">
        <w:t>Amoron’i</w:t>
      </w:r>
      <w:proofErr w:type="spellEnd"/>
      <w:r w:rsidR="00681A78">
        <w:t xml:space="preserve"> Mania et </w:t>
      </w:r>
      <w:proofErr w:type="spellStart"/>
      <w:r w:rsidR="00681A78">
        <w:t>ITasy</w:t>
      </w:r>
      <w:proofErr w:type="spellEnd"/>
      <w:r>
        <w:t>. Ci-dessous les nombres de bénéficiaires prévisionnels ainsi que le total des transferts correspondant pour la durée du programme.</w:t>
      </w:r>
    </w:p>
    <w:p w14:paraId="2465B5F2" w14:textId="77777777" w:rsidR="00126DB1" w:rsidRDefault="008C2E57">
      <w:pPr>
        <w:ind w:right="567"/>
        <w:rPr>
          <w:b/>
          <w:i/>
        </w:rPr>
      </w:pPr>
      <w:r>
        <w:rPr>
          <w:b/>
          <w:i/>
        </w:rPr>
        <w:lastRenderedPageBreak/>
        <w:t>Tableau1- Nombre de bénéficiaires et de transferts ACTP</w:t>
      </w:r>
    </w:p>
    <w:p w14:paraId="6D01D935" w14:textId="77777777" w:rsidR="00126DB1" w:rsidRDefault="00126DB1">
      <w:pPr>
        <w:ind w:right="567"/>
      </w:pPr>
    </w:p>
    <w:tbl>
      <w:tblPr>
        <w:tblW w:w="9781" w:type="dxa"/>
        <w:tblInd w:w="-10" w:type="dxa"/>
        <w:tblBorders>
          <w:top w:val="single" w:sz="8" w:space="0" w:color="000000"/>
          <w:left w:val="single" w:sz="8" w:space="0" w:color="000000"/>
          <w:right w:val="single" w:sz="8" w:space="0" w:color="000000"/>
          <w:insideV w:val="single" w:sz="8" w:space="0" w:color="000000"/>
        </w:tblBorders>
        <w:tblLayout w:type="fixed"/>
        <w:tblCellMar>
          <w:left w:w="70" w:type="dxa"/>
          <w:right w:w="70" w:type="dxa"/>
        </w:tblCellMar>
        <w:tblLook w:val="04A0" w:firstRow="1" w:lastRow="0" w:firstColumn="1" w:lastColumn="0" w:noHBand="0" w:noVBand="1"/>
      </w:tblPr>
      <w:tblGrid>
        <w:gridCol w:w="1664"/>
        <w:gridCol w:w="2022"/>
        <w:gridCol w:w="1276"/>
        <w:gridCol w:w="1559"/>
        <w:gridCol w:w="1322"/>
        <w:gridCol w:w="1938"/>
      </w:tblGrid>
      <w:tr w:rsidR="00681A78" w14:paraId="7C6DDD4B" w14:textId="77777777" w:rsidTr="00C451A4">
        <w:trPr>
          <w:trHeight w:val="1455"/>
        </w:trPr>
        <w:tc>
          <w:tcPr>
            <w:tcW w:w="1664" w:type="dxa"/>
            <w:tcBorders>
              <w:top w:val="single" w:sz="8" w:space="0" w:color="000000"/>
              <w:left w:val="single" w:sz="8" w:space="0" w:color="000000"/>
              <w:right w:val="single" w:sz="8" w:space="0" w:color="000000"/>
            </w:tcBorders>
            <w:shd w:val="clear" w:color="auto" w:fill="auto"/>
            <w:vAlign w:val="center"/>
          </w:tcPr>
          <w:p w14:paraId="7AF6AD5A" w14:textId="77777777" w:rsidR="00126DB1" w:rsidRDefault="008C2E57">
            <w:pPr>
              <w:jc w:val="center"/>
              <w:rPr>
                <w:rFonts w:ascii="Calibri" w:hAnsi="Calibri" w:cs="Calibri"/>
                <w:b/>
                <w:color w:val="000000"/>
                <w:sz w:val="20"/>
                <w:szCs w:val="20"/>
              </w:rPr>
            </w:pPr>
            <w:r>
              <w:rPr>
                <w:rFonts w:ascii="Calibri" w:hAnsi="Calibri"/>
                <w:b/>
                <w:color w:val="000000"/>
                <w:sz w:val="20"/>
                <w:szCs w:val="20"/>
              </w:rPr>
              <w:t>REGION</w:t>
            </w:r>
          </w:p>
        </w:tc>
        <w:tc>
          <w:tcPr>
            <w:tcW w:w="2022" w:type="dxa"/>
            <w:tcBorders>
              <w:top w:val="single" w:sz="8" w:space="0" w:color="000000"/>
              <w:right w:val="single" w:sz="8" w:space="0" w:color="000000"/>
            </w:tcBorders>
            <w:shd w:val="clear" w:color="auto" w:fill="auto"/>
            <w:vAlign w:val="center"/>
          </w:tcPr>
          <w:p w14:paraId="6465537F" w14:textId="77777777" w:rsidR="00126DB1" w:rsidRDefault="008C2E57">
            <w:pPr>
              <w:jc w:val="center"/>
              <w:rPr>
                <w:rFonts w:ascii="Calibri" w:hAnsi="Calibri" w:cs="Calibri"/>
                <w:b/>
                <w:color w:val="000000"/>
                <w:sz w:val="20"/>
                <w:szCs w:val="20"/>
              </w:rPr>
            </w:pPr>
            <w:r>
              <w:rPr>
                <w:rFonts w:ascii="Calibri" w:hAnsi="Calibri"/>
                <w:b/>
                <w:color w:val="000000"/>
                <w:sz w:val="20"/>
                <w:szCs w:val="20"/>
              </w:rPr>
              <w:t>DISTRICT</w:t>
            </w:r>
          </w:p>
        </w:tc>
        <w:tc>
          <w:tcPr>
            <w:tcW w:w="1276" w:type="dxa"/>
            <w:tcBorders>
              <w:top w:val="single" w:sz="8" w:space="0" w:color="000000"/>
              <w:right w:val="single" w:sz="8" w:space="0" w:color="000000"/>
            </w:tcBorders>
            <w:shd w:val="clear" w:color="auto" w:fill="auto"/>
            <w:vAlign w:val="center"/>
          </w:tcPr>
          <w:p w14:paraId="1E412E71" w14:textId="77777777" w:rsidR="00126DB1" w:rsidRDefault="008C2E57">
            <w:pPr>
              <w:jc w:val="center"/>
              <w:rPr>
                <w:rFonts w:ascii="Calibri" w:hAnsi="Calibri" w:cs="Calibri"/>
                <w:b/>
                <w:color w:val="000000"/>
                <w:sz w:val="20"/>
                <w:szCs w:val="20"/>
              </w:rPr>
            </w:pPr>
            <w:r>
              <w:rPr>
                <w:rFonts w:ascii="Calibri" w:hAnsi="Calibri"/>
                <w:b/>
                <w:color w:val="000000"/>
                <w:sz w:val="20"/>
                <w:szCs w:val="20"/>
              </w:rPr>
              <w:t>Nombre prévisionnel des bénéficiaires</w:t>
            </w:r>
          </w:p>
        </w:tc>
        <w:tc>
          <w:tcPr>
            <w:tcW w:w="1559" w:type="dxa"/>
            <w:tcBorders>
              <w:top w:val="single" w:sz="8" w:space="0" w:color="000000"/>
              <w:right w:val="single" w:sz="8" w:space="0" w:color="000000"/>
            </w:tcBorders>
            <w:shd w:val="clear" w:color="auto" w:fill="auto"/>
            <w:vAlign w:val="center"/>
          </w:tcPr>
          <w:p w14:paraId="459F6FD4" w14:textId="77777777" w:rsidR="00126DB1" w:rsidRDefault="008C2E57">
            <w:pPr>
              <w:jc w:val="center"/>
              <w:rPr>
                <w:rFonts w:ascii="Calibri" w:hAnsi="Calibri" w:cs="Calibri"/>
                <w:b/>
                <w:color w:val="000000"/>
                <w:sz w:val="20"/>
                <w:szCs w:val="20"/>
              </w:rPr>
            </w:pPr>
            <w:r>
              <w:rPr>
                <w:rFonts w:ascii="Calibri" w:hAnsi="Calibri"/>
                <w:b/>
                <w:color w:val="000000"/>
                <w:sz w:val="20"/>
                <w:szCs w:val="20"/>
              </w:rPr>
              <w:t xml:space="preserve"> </w:t>
            </w:r>
            <w:proofErr w:type="gramStart"/>
            <w:r>
              <w:rPr>
                <w:rFonts w:ascii="Calibri" w:hAnsi="Calibri"/>
                <w:b/>
                <w:color w:val="000000"/>
                <w:sz w:val="20"/>
                <w:szCs w:val="20"/>
              </w:rPr>
              <w:t>montant</w:t>
            </w:r>
            <w:proofErr w:type="gramEnd"/>
            <w:r>
              <w:rPr>
                <w:rFonts w:ascii="Calibri" w:hAnsi="Calibri"/>
                <w:b/>
                <w:color w:val="000000"/>
                <w:sz w:val="20"/>
                <w:szCs w:val="20"/>
              </w:rPr>
              <w:t xml:space="preserve"> perçu par le bénéficiaire par transfert </w:t>
            </w:r>
          </w:p>
        </w:tc>
        <w:tc>
          <w:tcPr>
            <w:tcW w:w="1322" w:type="dxa"/>
            <w:tcBorders>
              <w:top w:val="single" w:sz="8" w:space="0" w:color="000000"/>
              <w:right w:val="single" w:sz="8" w:space="0" w:color="000000"/>
            </w:tcBorders>
            <w:shd w:val="clear" w:color="auto" w:fill="auto"/>
            <w:vAlign w:val="center"/>
          </w:tcPr>
          <w:p w14:paraId="1091FC7F" w14:textId="77777777" w:rsidR="00126DB1" w:rsidRDefault="008C2E57">
            <w:pPr>
              <w:jc w:val="center"/>
              <w:rPr>
                <w:rFonts w:ascii="Calibri" w:hAnsi="Calibri" w:cs="Calibri"/>
                <w:b/>
                <w:color w:val="000000"/>
                <w:sz w:val="20"/>
                <w:szCs w:val="20"/>
              </w:rPr>
            </w:pPr>
            <w:r>
              <w:rPr>
                <w:rFonts w:ascii="Calibri" w:hAnsi="Calibri" w:cs="Calibri"/>
                <w:b/>
                <w:color w:val="000000"/>
                <w:sz w:val="20"/>
                <w:szCs w:val="20"/>
              </w:rPr>
              <w:t xml:space="preserve"> </w:t>
            </w:r>
            <w:proofErr w:type="gramStart"/>
            <w:r>
              <w:rPr>
                <w:rFonts w:ascii="Calibri" w:hAnsi="Calibri" w:cs="Calibri"/>
                <w:b/>
                <w:color w:val="000000"/>
                <w:sz w:val="20"/>
                <w:szCs w:val="20"/>
              </w:rPr>
              <w:t>montant</w:t>
            </w:r>
            <w:proofErr w:type="gramEnd"/>
            <w:r>
              <w:rPr>
                <w:rFonts w:ascii="Calibri" w:hAnsi="Calibri" w:cs="Calibri"/>
                <w:b/>
                <w:color w:val="000000"/>
                <w:sz w:val="20"/>
                <w:szCs w:val="20"/>
              </w:rPr>
              <w:t xml:space="preserve"> perçu par le bénéficiaire par activité (1 activité=3 paiements)</w:t>
            </w:r>
          </w:p>
        </w:tc>
        <w:tc>
          <w:tcPr>
            <w:tcW w:w="1938" w:type="dxa"/>
            <w:tcBorders>
              <w:top w:val="single" w:sz="8" w:space="0" w:color="000000"/>
              <w:right w:val="single" w:sz="8" w:space="0" w:color="000000"/>
            </w:tcBorders>
            <w:shd w:val="clear" w:color="auto" w:fill="auto"/>
            <w:vAlign w:val="center"/>
          </w:tcPr>
          <w:p w14:paraId="4B905DDE" w14:textId="77777777" w:rsidR="00126DB1" w:rsidRDefault="008C2E57">
            <w:pPr>
              <w:jc w:val="center"/>
              <w:rPr>
                <w:rFonts w:ascii="Calibri" w:hAnsi="Calibri" w:cs="Calibri"/>
                <w:b/>
                <w:color w:val="000000"/>
                <w:sz w:val="20"/>
                <w:szCs w:val="20"/>
              </w:rPr>
            </w:pPr>
            <w:proofErr w:type="gramStart"/>
            <w:r>
              <w:rPr>
                <w:rFonts w:ascii="Calibri" w:hAnsi="Calibri" w:cs="Calibri"/>
                <w:b/>
                <w:color w:val="000000"/>
                <w:sz w:val="20"/>
                <w:szCs w:val="20"/>
              </w:rPr>
              <w:t>montant</w:t>
            </w:r>
            <w:proofErr w:type="gramEnd"/>
            <w:r>
              <w:rPr>
                <w:rFonts w:ascii="Calibri" w:hAnsi="Calibri" w:cs="Calibri"/>
                <w:b/>
                <w:color w:val="000000"/>
                <w:sz w:val="20"/>
                <w:szCs w:val="20"/>
              </w:rPr>
              <w:t xml:space="preserve"> prévisionnel de transfert durant le programme (12 paiements pour 04 activités)</w:t>
            </w:r>
          </w:p>
        </w:tc>
      </w:tr>
      <w:tr w:rsidR="00681A78" w14:paraId="6D5C65EE" w14:textId="77777777" w:rsidTr="00C451A4">
        <w:trPr>
          <w:trHeight w:val="300"/>
        </w:trPr>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CF89AC"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VAKINANKARATRA</w:t>
            </w:r>
          </w:p>
        </w:tc>
        <w:tc>
          <w:tcPr>
            <w:tcW w:w="2022" w:type="dxa"/>
            <w:tcBorders>
              <w:top w:val="single" w:sz="4" w:space="0" w:color="000000"/>
              <w:bottom w:val="single" w:sz="4" w:space="0" w:color="000000"/>
              <w:right w:val="single" w:sz="4" w:space="0" w:color="000000"/>
            </w:tcBorders>
            <w:shd w:val="clear" w:color="auto" w:fill="auto"/>
            <w:vAlign w:val="center"/>
          </w:tcPr>
          <w:p w14:paraId="3DE1560A"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ANTANIFOTSY</w:t>
            </w:r>
          </w:p>
        </w:tc>
        <w:tc>
          <w:tcPr>
            <w:tcW w:w="1276" w:type="dxa"/>
            <w:tcBorders>
              <w:top w:val="single" w:sz="4" w:space="0" w:color="000000"/>
              <w:bottom w:val="single" w:sz="4" w:space="0" w:color="000000"/>
              <w:right w:val="single" w:sz="4" w:space="0" w:color="000000"/>
            </w:tcBorders>
            <w:shd w:val="clear" w:color="auto" w:fill="auto"/>
            <w:vAlign w:val="bottom"/>
          </w:tcPr>
          <w:p w14:paraId="08AE8D36"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6 808</w:t>
            </w:r>
          </w:p>
        </w:tc>
        <w:tc>
          <w:tcPr>
            <w:tcW w:w="1559" w:type="dxa"/>
            <w:tcBorders>
              <w:top w:val="single" w:sz="4" w:space="0" w:color="000000"/>
              <w:bottom w:val="single" w:sz="4" w:space="0" w:color="000000"/>
              <w:right w:val="single" w:sz="4" w:space="0" w:color="000000"/>
            </w:tcBorders>
            <w:shd w:val="clear" w:color="auto" w:fill="auto"/>
            <w:vAlign w:val="bottom"/>
          </w:tcPr>
          <w:p w14:paraId="2B6C0059"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 xml:space="preserve"> 45 000 à 90 000 </w:t>
            </w:r>
          </w:p>
        </w:tc>
        <w:tc>
          <w:tcPr>
            <w:tcW w:w="1322" w:type="dxa"/>
            <w:tcBorders>
              <w:top w:val="single" w:sz="4" w:space="0" w:color="000000"/>
              <w:bottom w:val="single" w:sz="4" w:space="0" w:color="000000"/>
              <w:right w:val="single" w:sz="4" w:space="0" w:color="000000"/>
            </w:tcBorders>
            <w:shd w:val="clear" w:color="auto" w:fill="auto"/>
            <w:vAlign w:val="bottom"/>
          </w:tcPr>
          <w:p w14:paraId="695624DB"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180 000,00</w:t>
            </w:r>
          </w:p>
        </w:tc>
        <w:tc>
          <w:tcPr>
            <w:tcW w:w="1938" w:type="dxa"/>
            <w:tcBorders>
              <w:top w:val="single" w:sz="4" w:space="0" w:color="000000"/>
              <w:bottom w:val="single" w:sz="4" w:space="0" w:color="000000"/>
              <w:right w:val="single" w:sz="4" w:space="0" w:color="000000"/>
            </w:tcBorders>
            <w:shd w:val="clear" w:color="auto" w:fill="auto"/>
            <w:vAlign w:val="bottom"/>
          </w:tcPr>
          <w:p w14:paraId="28D0CD30"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4 901 760 000,00</w:t>
            </w:r>
          </w:p>
        </w:tc>
      </w:tr>
      <w:tr w:rsidR="00681A78" w14:paraId="6A72A15A" w14:textId="77777777" w:rsidTr="00C451A4">
        <w:trPr>
          <w:trHeight w:val="300"/>
        </w:trPr>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BF3DD8" w14:textId="77777777" w:rsidR="00126DB1" w:rsidRDefault="00126DB1">
            <w:pPr>
              <w:jc w:val="left"/>
              <w:rPr>
                <w:rFonts w:ascii="Calibri" w:hAnsi="Calibri" w:cs="Calibri"/>
                <w:color w:val="000000"/>
                <w:sz w:val="20"/>
                <w:szCs w:val="20"/>
              </w:rPr>
            </w:pPr>
          </w:p>
        </w:tc>
        <w:tc>
          <w:tcPr>
            <w:tcW w:w="2022" w:type="dxa"/>
            <w:tcBorders>
              <w:bottom w:val="single" w:sz="4" w:space="0" w:color="000000"/>
              <w:right w:val="single" w:sz="4" w:space="0" w:color="000000"/>
            </w:tcBorders>
            <w:shd w:val="clear" w:color="auto" w:fill="auto"/>
            <w:vAlign w:val="center"/>
          </w:tcPr>
          <w:p w14:paraId="1FB44DFB" w14:textId="69995E57" w:rsidR="00126DB1" w:rsidRDefault="00681A78">
            <w:pPr>
              <w:jc w:val="left"/>
              <w:rPr>
                <w:rFonts w:ascii="Calibri" w:hAnsi="Calibri" w:cs="Calibri"/>
                <w:color w:val="000000"/>
                <w:sz w:val="20"/>
                <w:szCs w:val="20"/>
              </w:rPr>
            </w:pPr>
            <w:r>
              <w:rPr>
                <w:rFonts w:ascii="Calibri" w:hAnsi="Calibri" w:cs="Calibri"/>
                <w:color w:val="000000"/>
                <w:sz w:val="20"/>
                <w:szCs w:val="20"/>
              </w:rPr>
              <w:t>ITASY</w:t>
            </w:r>
          </w:p>
        </w:tc>
        <w:tc>
          <w:tcPr>
            <w:tcW w:w="1276" w:type="dxa"/>
            <w:tcBorders>
              <w:bottom w:val="single" w:sz="4" w:space="0" w:color="000000"/>
              <w:right w:val="single" w:sz="4" w:space="0" w:color="000000"/>
            </w:tcBorders>
            <w:shd w:val="clear" w:color="auto" w:fill="auto"/>
            <w:vAlign w:val="bottom"/>
          </w:tcPr>
          <w:p w14:paraId="632046BC"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3 000</w:t>
            </w:r>
          </w:p>
        </w:tc>
        <w:tc>
          <w:tcPr>
            <w:tcW w:w="1559" w:type="dxa"/>
            <w:tcBorders>
              <w:bottom w:val="single" w:sz="4" w:space="0" w:color="000000"/>
              <w:right w:val="single" w:sz="4" w:space="0" w:color="000000"/>
            </w:tcBorders>
            <w:shd w:val="clear" w:color="auto" w:fill="auto"/>
            <w:vAlign w:val="bottom"/>
          </w:tcPr>
          <w:p w14:paraId="68468F1C"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 xml:space="preserve"> 45 000 à 90 000 </w:t>
            </w:r>
          </w:p>
        </w:tc>
        <w:tc>
          <w:tcPr>
            <w:tcW w:w="1322" w:type="dxa"/>
            <w:tcBorders>
              <w:bottom w:val="single" w:sz="4" w:space="0" w:color="000000"/>
              <w:right w:val="single" w:sz="4" w:space="0" w:color="000000"/>
            </w:tcBorders>
            <w:shd w:val="clear" w:color="auto" w:fill="auto"/>
            <w:vAlign w:val="bottom"/>
          </w:tcPr>
          <w:p w14:paraId="75ED05D4"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180 000,00</w:t>
            </w:r>
          </w:p>
        </w:tc>
        <w:tc>
          <w:tcPr>
            <w:tcW w:w="1938" w:type="dxa"/>
            <w:tcBorders>
              <w:bottom w:val="single" w:sz="4" w:space="0" w:color="000000"/>
              <w:right w:val="single" w:sz="4" w:space="0" w:color="000000"/>
            </w:tcBorders>
            <w:shd w:val="clear" w:color="auto" w:fill="auto"/>
            <w:vAlign w:val="bottom"/>
          </w:tcPr>
          <w:p w14:paraId="21057BFF"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2 160 000 000,00</w:t>
            </w:r>
          </w:p>
        </w:tc>
      </w:tr>
      <w:tr w:rsidR="00681A78" w14:paraId="55196737" w14:textId="77777777" w:rsidTr="00C451A4">
        <w:trPr>
          <w:trHeight w:val="300"/>
        </w:trPr>
        <w:tc>
          <w:tcPr>
            <w:tcW w:w="1664" w:type="dxa"/>
            <w:vMerge w:val="restart"/>
            <w:tcBorders>
              <w:left w:val="single" w:sz="4" w:space="0" w:color="000000"/>
              <w:bottom w:val="single" w:sz="4" w:space="0" w:color="000000"/>
              <w:right w:val="single" w:sz="4" w:space="0" w:color="000000"/>
            </w:tcBorders>
            <w:shd w:val="clear" w:color="auto" w:fill="auto"/>
            <w:vAlign w:val="center"/>
          </w:tcPr>
          <w:p w14:paraId="4AA4F0FB"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HAUTE MATSIATRA</w:t>
            </w:r>
          </w:p>
        </w:tc>
        <w:tc>
          <w:tcPr>
            <w:tcW w:w="2022" w:type="dxa"/>
            <w:tcBorders>
              <w:bottom w:val="single" w:sz="4" w:space="0" w:color="000000"/>
              <w:right w:val="single" w:sz="4" w:space="0" w:color="000000"/>
            </w:tcBorders>
            <w:shd w:val="clear" w:color="auto" w:fill="auto"/>
            <w:vAlign w:val="center"/>
          </w:tcPr>
          <w:p w14:paraId="34BDAD9E"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ISANDRA</w:t>
            </w:r>
          </w:p>
        </w:tc>
        <w:tc>
          <w:tcPr>
            <w:tcW w:w="1276" w:type="dxa"/>
            <w:tcBorders>
              <w:bottom w:val="single" w:sz="4" w:space="0" w:color="000000"/>
              <w:right w:val="single" w:sz="4" w:space="0" w:color="000000"/>
            </w:tcBorders>
            <w:shd w:val="clear" w:color="auto" w:fill="auto"/>
            <w:vAlign w:val="bottom"/>
          </w:tcPr>
          <w:p w14:paraId="6BBA5778"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7 170</w:t>
            </w:r>
          </w:p>
        </w:tc>
        <w:tc>
          <w:tcPr>
            <w:tcW w:w="1559" w:type="dxa"/>
            <w:tcBorders>
              <w:bottom w:val="single" w:sz="4" w:space="0" w:color="000000"/>
              <w:right w:val="single" w:sz="4" w:space="0" w:color="000000"/>
            </w:tcBorders>
            <w:shd w:val="clear" w:color="auto" w:fill="auto"/>
            <w:vAlign w:val="bottom"/>
          </w:tcPr>
          <w:p w14:paraId="66BA84F6"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 xml:space="preserve"> 45 000 à 90 000 </w:t>
            </w:r>
          </w:p>
        </w:tc>
        <w:tc>
          <w:tcPr>
            <w:tcW w:w="1322" w:type="dxa"/>
            <w:tcBorders>
              <w:bottom w:val="single" w:sz="4" w:space="0" w:color="000000"/>
              <w:right w:val="single" w:sz="4" w:space="0" w:color="000000"/>
            </w:tcBorders>
            <w:shd w:val="clear" w:color="auto" w:fill="auto"/>
            <w:vAlign w:val="bottom"/>
          </w:tcPr>
          <w:p w14:paraId="1C8BC0A3"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180 000,00</w:t>
            </w:r>
          </w:p>
        </w:tc>
        <w:tc>
          <w:tcPr>
            <w:tcW w:w="1938" w:type="dxa"/>
            <w:tcBorders>
              <w:bottom w:val="single" w:sz="4" w:space="0" w:color="000000"/>
              <w:right w:val="single" w:sz="4" w:space="0" w:color="000000"/>
            </w:tcBorders>
            <w:shd w:val="clear" w:color="auto" w:fill="auto"/>
            <w:vAlign w:val="bottom"/>
          </w:tcPr>
          <w:p w14:paraId="3869FCF0"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5 162 400 000,00</w:t>
            </w:r>
          </w:p>
        </w:tc>
      </w:tr>
      <w:tr w:rsidR="00681A78" w14:paraId="4AC653C7" w14:textId="77777777" w:rsidTr="00C451A4">
        <w:trPr>
          <w:trHeight w:val="300"/>
        </w:trPr>
        <w:tc>
          <w:tcPr>
            <w:tcW w:w="1664" w:type="dxa"/>
            <w:vMerge/>
            <w:tcBorders>
              <w:left w:val="single" w:sz="4" w:space="0" w:color="000000"/>
              <w:bottom w:val="single" w:sz="4" w:space="0" w:color="000000"/>
              <w:right w:val="single" w:sz="4" w:space="0" w:color="000000"/>
            </w:tcBorders>
            <w:shd w:val="clear" w:color="auto" w:fill="auto"/>
            <w:vAlign w:val="center"/>
          </w:tcPr>
          <w:p w14:paraId="4A9995A0" w14:textId="77777777" w:rsidR="00126DB1" w:rsidRDefault="00126DB1">
            <w:pPr>
              <w:jc w:val="left"/>
              <w:rPr>
                <w:rFonts w:ascii="Calibri" w:hAnsi="Calibri" w:cs="Calibri"/>
                <w:color w:val="000000"/>
                <w:sz w:val="20"/>
                <w:szCs w:val="20"/>
              </w:rPr>
            </w:pPr>
          </w:p>
        </w:tc>
        <w:tc>
          <w:tcPr>
            <w:tcW w:w="2022" w:type="dxa"/>
            <w:tcBorders>
              <w:bottom w:val="single" w:sz="4" w:space="0" w:color="000000"/>
              <w:right w:val="single" w:sz="4" w:space="0" w:color="000000"/>
            </w:tcBorders>
            <w:shd w:val="clear" w:color="auto" w:fill="auto"/>
            <w:vAlign w:val="center"/>
          </w:tcPr>
          <w:p w14:paraId="010E0381" w14:textId="3BC52F5C" w:rsidR="00126DB1" w:rsidRDefault="00681A78">
            <w:pPr>
              <w:jc w:val="left"/>
              <w:rPr>
                <w:rFonts w:ascii="Calibri" w:hAnsi="Calibri" w:cs="Calibri"/>
                <w:color w:val="000000"/>
                <w:sz w:val="20"/>
                <w:szCs w:val="20"/>
              </w:rPr>
            </w:pPr>
            <w:r>
              <w:rPr>
                <w:rFonts w:ascii="Calibri" w:hAnsi="Calibri" w:cs="Calibri"/>
                <w:color w:val="000000"/>
                <w:sz w:val="20"/>
                <w:szCs w:val="20"/>
              </w:rPr>
              <w:t>AMORON’I MANIA</w:t>
            </w:r>
          </w:p>
        </w:tc>
        <w:tc>
          <w:tcPr>
            <w:tcW w:w="1276" w:type="dxa"/>
            <w:tcBorders>
              <w:bottom w:val="single" w:sz="4" w:space="0" w:color="000000"/>
              <w:right w:val="single" w:sz="4" w:space="0" w:color="000000"/>
            </w:tcBorders>
            <w:shd w:val="clear" w:color="auto" w:fill="auto"/>
            <w:vAlign w:val="bottom"/>
          </w:tcPr>
          <w:p w14:paraId="11A92051"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3 000</w:t>
            </w:r>
          </w:p>
        </w:tc>
        <w:tc>
          <w:tcPr>
            <w:tcW w:w="1559" w:type="dxa"/>
            <w:tcBorders>
              <w:bottom w:val="single" w:sz="4" w:space="0" w:color="000000"/>
              <w:right w:val="single" w:sz="4" w:space="0" w:color="000000"/>
            </w:tcBorders>
            <w:shd w:val="clear" w:color="auto" w:fill="auto"/>
            <w:vAlign w:val="bottom"/>
          </w:tcPr>
          <w:p w14:paraId="20497C99"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 xml:space="preserve"> 45 000 à 90 000 </w:t>
            </w:r>
          </w:p>
        </w:tc>
        <w:tc>
          <w:tcPr>
            <w:tcW w:w="1322" w:type="dxa"/>
            <w:tcBorders>
              <w:bottom w:val="single" w:sz="4" w:space="0" w:color="000000"/>
              <w:right w:val="single" w:sz="4" w:space="0" w:color="000000"/>
            </w:tcBorders>
            <w:shd w:val="clear" w:color="auto" w:fill="auto"/>
            <w:vAlign w:val="bottom"/>
          </w:tcPr>
          <w:p w14:paraId="3E3DCF43"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180 000,00</w:t>
            </w:r>
          </w:p>
        </w:tc>
        <w:tc>
          <w:tcPr>
            <w:tcW w:w="1938" w:type="dxa"/>
            <w:tcBorders>
              <w:bottom w:val="single" w:sz="4" w:space="0" w:color="000000"/>
              <w:right w:val="single" w:sz="4" w:space="0" w:color="000000"/>
            </w:tcBorders>
            <w:shd w:val="clear" w:color="auto" w:fill="auto"/>
            <w:vAlign w:val="bottom"/>
          </w:tcPr>
          <w:p w14:paraId="64451F15"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2 160 000 000,00</w:t>
            </w:r>
          </w:p>
        </w:tc>
      </w:tr>
      <w:tr w:rsidR="00681A78" w14:paraId="59DBB27C" w14:textId="77777777" w:rsidTr="00C451A4">
        <w:trPr>
          <w:trHeight w:val="300"/>
        </w:trPr>
        <w:tc>
          <w:tcPr>
            <w:tcW w:w="1664" w:type="dxa"/>
            <w:tcBorders>
              <w:left w:val="single" w:sz="4" w:space="0" w:color="000000"/>
              <w:bottom w:val="single" w:sz="4" w:space="0" w:color="000000"/>
              <w:right w:val="single" w:sz="4" w:space="0" w:color="000000"/>
            </w:tcBorders>
            <w:shd w:val="clear" w:color="auto" w:fill="auto"/>
            <w:vAlign w:val="center"/>
          </w:tcPr>
          <w:p w14:paraId="3588C964"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ANTSINANANA</w:t>
            </w:r>
          </w:p>
        </w:tc>
        <w:tc>
          <w:tcPr>
            <w:tcW w:w="2022" w:type="dxa"/>
            <w:tcBorders>
              <w:bottom w:val="single" w:sz="4" w:space="0" w:color="000000"/>
              <w:right w:val="single" w:sz="4" w:space="0" w:color="000000"/>
            </w:tcBorders>
            <w:shd w:val="clear" w:color="auto" w:fill="auto"/>
            <w:vAlign w:val="center"/>
          </w:tcPr>
          <w:p w14:paraId="5BA2E1D6"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VATOMANDRY</w:t>
            </w:r>
          </w:p>
        </w:tc>
        <w:tc>
          <w:tcPr>
            <w:tcW w:w="1276" w:type="dxa"/>
            <w:tcBorders>
              <w:bottom w:val="single" w:sz="4" w:space="0" w:color="000000"/>
              <w:right w:val="single" w:sz="4" w:space="0" w:color="000000"/>
            </w:tcBorders>
            <w:shd w:val="clear" w:color="auto" w:fill="auto"/>
            <w:vAlign w:val="bottom"/>
          </w:tcPr>
          <w:p w14:paraId="12BEA6C9"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5 965</w:t>
            </w:r>
          </w:p>
        </w:tc>
        <w:tc>
          <w:tcPr>
            <w:tcW w:w="1559" w:type="dxa"/>
            <w:tcBorders>
              <w:bottom w:val="single" w:sz="4" w:space="0" w:color="000000"/>
              <w:right w:val="single" w:sz="4" w:space="0" w:color="000000"/>
            </w:tcBorders>
            <w:shd w:val="clear" w:color="auto" w:fill="auto"/>
            <w:vAlign w:val="bottom"/>
          </w:tcPr>
          <w:p w14:paraId="371130E8"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 xml:space="preserve"> 45 000 à 90 000 </w:t>
            </w:r>
          </w:p>
        </w:tc>
        <w:tc>
          <w:tcPr>
            <w:tcW w:w="1322" w:type="dxa"/>
            <w:tcBorders>
              <w:bottom w:val="single" w:sz="4" w:space="0" w:color="000000"/>
              <w:right w:val="single" w:sz="4" w:space="0" w:color="000000"/>
            </w:tcBorders>
            <w:shd w:val="clear" w:color="auto" w:fill="auto"/>
            <w:vAlign w:val="bottom"/>
          </w:tcPr>
          <w:p w14:paraId="298DFD7D"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180 000,00</w:t>
            </w:r>
          </w:p>
        </w:tc>
        <w:tc>
          <w:tcPr>
            <w:tcW w:w="1938" w:type="dxa"/>
            <w:tcBorders>
              <w:bottom w:val="single" w:sz="4" w:space="0" w:color="000000"/>
              <w:right w:val="single" w:sz="4" w:space="0" w:color="000000"/>
            </w:tcBorders>
            <w:shd w:val="clear" w:color="auto" w:fill="auto"/>
            <w:vAlign w:val="bottom"/>
          </w:tcPr>
          <w:p w14:paraId="474269A5"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4 294 800 000,00</w:t>
            </w:r>
          </w:p>
        </w:tc>
      </w:tr>
      <w:tr w:rsidR="00681A78" w14:paraId="51DD1003" w14:textId="77777777" w:rsidTr="00C451A4">
        <w:trPr>
          <w:trHeight w:val="300"/>
        </w:trPr>
        <w:tc>
          <w:tcPr>
            <w:tcW w:w="1664" w:type="dxa"/>
            <w:tcBorders>
              <w:left w:val="single" w:sz="4" w:space="0" w:color="000000"/>
              <w:bottom w:val="single" w:sz="4" w:space="0" w:color="000000"/>
              <w:right w:val="single" w:sz="4" w:space="0" w:color="000000"/>
            </w:tcBorders>
            <w:shd w:val="clear" w:color="auto" w:fill="auto"/>
            <w:vAlign w:val="center"/>
          </w:tcPr>
          <w:p w14:paraId="5C5B2D31"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ATSIMO ANDREFANA</w:t>
            </w:r>
          </w:p>
        </w:tc>
        <w:tc>
          <w:tcPr>
            <w:tcW w:w="2022" w:type="dxa"/>
            <w:tcBorders>
              <w:bottom w:val="single" w:sz="4" w:space="0" w:color="000000"/>
              <w:right w:val="single" w:sz="4" w:space="0" w:color="000000"/>
            </w:tcBorders>
            <w:shd w:val="clear" w:color="auto" w:fill="auto"/>
            <w:vAlign w:val="bottom"/>
          </w:tcPr>
          <w:p w14:paraId="30E18B17" w14:textId="77777777" w:rsidR="00126DB1" w:rsidRDefault="008C2E57">
            <w:pPr>
              <w:ind w:firstLine="200"/>
              <w:jc w:val="left"/>
              <w:rPr>
                <w:rFonts w:ascii="Calibri" w:hAnsi="Calibri" w:cs="Calibri"/>
                <w:color w:val="000000"/>
                <w:sz w:val="20"/>
                <w:szCs w:val="20"/>
              </w:rPr>
            </w:pPr>
            <w:r>
              <w:rPr>
                <w:rFonts w:ascii="Calibri" w:hAnsi="Calibri" w:cs="Calibri"/>
                <w:color w:val="000000"/>
                <w:sz w:val="20"/>
                <w:szCs w:val="20"/>
              </w:rPr>
              <w:t>ANKAZOABO</w:t>
            </w:r>
          </w:p>
        </w:tc>
        <w:tc>
          <w:tcPr>
            <w:tcW w:w="1276" w:type="dxa"/>
            <w:tcBorders>
              <w:bottom w:val="single" w:sz="4" w:space="0" w:color="000000"/>
              <w:right w:val="single" w:sz="4" w:space="0" w:color="000000"/>
            </w:tcBorders>
            <w:shd w:val="clear" w:color="auto" w:fill="auto"/>
            <w:vAlign w:val="bottom"/>
          </w:tcPr>
          <w:p w14:paraId="57A1C679"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3 495</w:t>
            </w:r>
          </w:p>
        </w:tc>
        <w:tc>
          <w:tcPr>
            <w:tcW w:w="1559" w:type="dxa"/>
            <w:tcBorders>
              <w:bottom w:val="single" w:sz="4" w:space="0" w:color="000000"/>
              <w:right w:val="single" w:sz="4" w:space="0" w:color="000000"/>
            </w:tcBorders>
            <w:shd w:val="clear" w:color="auto" w:fill="auto"/>
            <w:vAlign w:val="bottom"/>
          </w:tcPr>
          <w:p w14:paraId="7447F6FB"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 xml:space="preserve"> 45 000 à 90 000 </w:t>
            </w:r>
          </w:p>
        </w:tc>
        <w:tc>
          <w:tcPr>
            <w:tcW w:w="1322" w:type="dxa"/>
            <w:tcBorders>
              <w:bottom w:val="single" w:sz="4" w:space="0" w:color="000000"/>
              <w:right w:val="single" w:sz="4" w:space="0" w:color="000000"/>
            </w:tcBorders>
            <w:shd w:val="clear" w:color="auto" w:fill="auto"/>
            <w:vAlign w:val="bottom"/>
          </w:tcPr>
          <w:p w14:paraId="07DAF206"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180 000,00</w:t>
            </w:r>
          </w:p>
        </w:tc>
        <w:tc>
          <w:tcPr>
            <w:tcW w:w="1938" w:type="dxa"/>
            <w:tcBorders>
              <w:bottom w:val="single" w:sz="4" w:space="0" w:color="000000"/>
              <w:right w:val="single" w:sz="4" w:space="0" w:color="000000"/>
            </w:tcBorders>
            <w:shd w:val="clear" w:color="auto" w:fill="auto"/>
            <w:vAlign w:val="bottom"/>
          </w:tcPr>
          <w:p w14:paraId="758386F3"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2 516 400 000,00</w:t>
            </w:r>
          </w:p>
        </w:tc>
      </w:tr>
      <w:tr w:rsidR="00681A78" w14:paraId="105F50A6" w14:textId="77777777" w:rsidTr="00C451A4">
        <w:trPr>
          <w:trHeight w:val="300"/>
        </w:trPr>
        <w:tc>
          <w:tcPr>
            <w:tcW w:w="1664" w:type="dxa"/>
            <w:tcBorders>
              <w:left w:val="single" w:sz="4" w:space="0" w:color="000000"/>
              <w:bottom w:val="single" w:sz="4" w:space="0" w:color="000000"/>
              <w:right w:val="single" w:sz="4" w:space="0" w:color="000000"/>
            </w:tcBorders>
            <w:shd w:val="clear" w:color="auto" w:fill="auto"/>
            <w:vAlign w:val="bottom"/>
          </w:tcPr>
          <w:p w14:paraId="28BC271F"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VATOVAVY FITOVINANY</w:t>
            </w:r>
          </w:p>
        </w:tc>
        <w:tc>
          <w:tcPr>
            <w:tcW w:w="2022" w:type="dxa"/>
            <w:tcBorders>
              <w:bottom w:val="single" w:sz="4" w:space="0" w:color="000000"/>
              <w:right w:val="single" w:sz="4" w:space="0" w:color="000000"/>
            </w:tcBorders>
            <w:shd w:val="clear" w:color="auto" w:fill="auto"/>
            <w:vAlign w:val="center"/>
          </w:tcPr>
          <w:p w14:paraId="5535968B"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MANAKARA</w:t>
            </w:r>
          </w:p>
        </w:tc>
        <w:tc>
          <w:tcPr>
            <w:tcW w:w="1276" w:type="dxa"/>
            <w:tcBorders>
              <w:bottom w:val="single" w:sz="4" w:space="0" w:color="000000"/>
              <w:right w:val="single" w:sz="4" w:space="0" w:color="000000"/>
            </w:tcBorders>
            <w:shd w:val="clear" w:color="auto" w:fill="auto"/>
            <w:vAlign w:val="bottom"/>
          </w:tcPr>
          <w:p w14:paraId="03DD3AE0"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8 146</w:t>
            </w:r>
          </w:p>
        </w:tc>
        <w:tc>
          <w:tcPr>
            <w:tcW w:w="1559" w:type="dxa"/>
            <w:tcBorders>
              <w:bottom w:val="single" w:sz="4" w:space="0" w:color="000000"/>
              <w:right w:val="single" w:sz="4" w:space="0" w:color="000000"/>
            </w:tcBorders>
            <w:shd w:val="clear" w:color="auto" w:fill="auto"/>
            <w:vAlign w:val="bottom"/>
          </w:tcPr>
          <w:p w14:paraId="592857D3"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 xml:space="preserve"> 45 000 à 90 000 </w:t>
            </w:r>
          </w:p>
        </w:tc>
        <w:tc>
          <w:tcPr>
            <w:tcW w:w="1322" w:type="dxa"/>
            <w:tcBorders>
              <w:bottom w:val="single" w:sz="4" w:space="0" w:color="000000"/>
              <w:right w:val="single" w:sz="4" w:space="0" w:color="000000"/>
            </w:tcBorders>
            <w:shd w:val="clear" w:color="auto" w:fill="auto"/>
            <w:vAlign w:val="bottom"/>
          </w:tcPr>
          <w:p w14:paraId="7BBE192F"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180 000,00</w:t>
            </w:r>
          </w:p>
        </w:tc>
        <w:tc>
          <w:tcPr>
            <w:tcW w:w="1938" w:type="dxa"/>
            <w:tcBorders>
              <w:bottom w:val="single" w:sz="4" w:space="0" w:color="000000"/>
              <w:right w:val="single" w:sz="4" w:space="0" w:color="000000"/>
            </w:tcBorders>
            <w:shd w:val="clear" w:color="auto" w:fill="auto"/>
            <w:vAlign w:val="bottom"/>
          </w:tcPr>
          <w:p w14:paraId="46D9109E"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5 865 120 000,00</w:t>
            </w:r>
          </w:p>
        </w:tc>
      </w:tr>
      <w:tr w:rsidR="00681A78" w14:paraId="33CAB741" w14:textId="77777777" w:rsidTr="00C451A4">
        <w:trPr>
          <w:trHeight w:val="300"/>
        </w:trPr>
        <w:tc>
          <w:tcPr>
            <w:tcW w:w="1664" w:type="dxa"/>
            <w:shd w:val="clear" w:color="auto" w:fill="auto"/>
            <w:vAlign w:val="bottom"/>
          </w:tcPr>
          <w:p w14:paraId="33A59C37" w14:textId="77777777" w:rsidR="00126DB1" w:rsidRDefault="00126DB1">
            <w:pPr>
              <w:jc w:val="left"/>
              <w:rPr>
                <w:rFonts w:ascii="Calibri" w:hAnsi="Calibri" w:cs="Calibri"/>
                <w:color w:val="000000"/>
                <w:sz w:val="20"/>
                <w:szCs w:val="20"/>
              </w:rPr>
            </w:pPr>
          </w:p>
        </w:tc>
        <w:tc>
          <w:tcPr>
            <w:tcW w:w="2022" w:type="dxa"/>
            <w:tcBorders>
              <w:left w:val="single" w:sz="4" w:space="0" w:color="000000"/>
              <w:bottom w:val="single" w:sz="4" w:space="0" w:color="000000"/>
              <w:right w:val="single" w:sz="4" w:space="0" w:color="000000"/>
            </w:tcBorders>
            <w:shd w:val="clear" w:color="auto" w:fill="auto"/>
            <w:vAlign w:val="bottom"/>
          </w:tcPr>
          <w:p w14:paraId="7366AE63"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TOTAL</w:t>
            </w:r>
          </w:p>
        </w:tc>
        <w:tc>
          <w:tcPr>
            <w:tcW w:w="1276" w:type="dxa"/>
            <w:tcBorders>
              <w:bottom w:val="single" w:sz="4" w:space="0" w:color="000000"/>
              <w:right w:val="single" w:sz="4" w:space="0" w:color="000000"/>
            </w:tcBorders>
            <w:shd w:val="clear" w:color="auto" w:fill="auto"/>
            <w:vAlign w:val="bottom"/>
          </w:tcPr>
          <w:p w14:paraId="453D05F3"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37 584</w:t>
            </w:r>
          </w:p>
        </w:tc>
        <w:tc>
          <w:tcPr>
            <w:tcW w:w="1559" w:type="dxa"/>
            <w:tcBorders>
              <w:bottom w:val="single" w:sz="4" w:space="0" w:color="000000"/>
              <w:right w:val="single" w:sz="4" w:space="0" w:color="000000"/>
            </w:tcBorders>
            <w:shd w:val="clear" w:color="auto" w:fill="auto"/>
            <w:vAlign w:val="center"/>
          </w:tcPr>
          <w:p w14:paraId="511A0A07"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w:t>
            </w:r>
          </w:p>
        </w:tc>
        <w:tc>
          <w:tcPr>
            <w:tcW w:w="1322" w:type="dxa"/>
            <w:tcBorders>
              <w:bottom w:val="single" w:sz="4" w:space="0" w:color="000000"/>
              <w:right w:val="single" w:sz="4" w:space="0" w:color="000000"/>
            </w:tcBorders>
            <w:shd w:val="clear" w:color="auto" w:fill="auto"/>
            <w:vAlign w:val="center"/>
          </w:tcPr>
          <w:p w14:paraId="6EFF84B5"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w:t>
            </w:r>
          </w:p>
        </w:tc>
        <w:tc>
          <w:tcPr>
            <w:tcW w:w="1938" w:type="dxa"/>
            <w:tcBorders>
              <w:bottom w:val="single" w:sz="4" w:space="0" w:color="000000"/>
              <w:right w:val="single" w:sz="4" w:space="0" w:color="000000"/>
            </w:tcBorders>
            <w:shd w:val="clear" w:color="auto" w:fill="auto"/>
            <w:vAlign w:val="bottom"/>
          </w:tcPr>
          <w:p w14:paraId="5B930F9C"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 xml:space="preserve">      27 060 480 000,00   </w:t>
            </w:r>
          </w:p>
        </w:tc>
      </w:tr>
    </w:tbl>
    <w:p w14:paraId="02E4FB74" w14:textId="77777777" w:rsidR="00126DB1" w:rsidRDefault="00126DB1">
      <w:pPr>
        <w:ind w:right="567"/>
      </w:pPr>
    </w:p>
    <w:p w14:paraId="258F4584" w14:textId="77777777" w:rsidR="00126DB1" w:rsidRDefault="00126DB1">
      <w:pPr>
        <w:ind w:right="567"/>
      </w:pPr>
    </w:p>
    <w:p w14:paraId="046AB186" w14:textId="16B6AAA6" w:rsidR="00126DB1" w:rsidRDefault="008C2E57">
      <w:pPr>
        <w:ind w:right="567"/>
      </w:pPr>
      <w:r>
        <w:t xml:space="preserve">En ce qui concerne le programme TMDH, il </w:t>
      </w:r>
      <w:proofErr w:type="gramStart"/>
      <w:r>
        <w:t>est  exécuté</w:t>
      </w:r>
      <w:proofErr w:type="gramEnd"/>
      <w:r>
        <w:t xml:space="preserve"> dans </w:t>
      </w:r>
      <w:r w:rsidR="00B154D4">
        <w:t xml:space="preserve">13 </w:t>
      </w:r>
      <w:r>
        <w:t xml:space="preserve">districts </w:t>
      </w:r>
      <w:proofErr w:type="spellStart"/>
      <w:r>
        <w:t>Faratsiho</w:t>
      </w:r>
      <w:proofErr w:type="spellEnd"/>
      <w:r>
        <w:t xml:space="preserve">, </w:t>
      </w:r>
      <w:proofErr w:type="spellStart"/>
      <w:r w:rsidR="00B154D4">
        <w:t>Betafo</w:t>
      </w:r>
      <w:proofErr w:type="spellEnd"/>
      <w:r w:rsidR="00B154D4">
        <w:t xml:space="preserve">, </w:t>
      </w:r>
      <w:proofErr w:type="spellStart"/>
      <w:r>
        <w:t>Ambohimahasoa</w:t>
      </w:r>
      <w:proofErr w:type="spellEnd"/>
      <w:r>
        <w:t xml:space="preserve">, </w:t>
      </w:r>
      <w:proofErr w:type="spellStart"/>
      <w:r>
        <w:t>Vohipeno</w:t>
      </w:r>
      <w:proofErr w:type="spellEnd"/>
      <w:r>
        <w:t xml:space="preserve">, </w:t>
      </w:r>
      <w:proofErr w:type="spellStart"/>
      <w:r>
        <w:t>Betioky</w:t>
      </w:r>
      <w:proofErr w:type="spellEnd"/>
      <w:r>
        <w:t xml:space="preserve">, </w:t>
      </w:r>
      <w:proofErr w:type="spellStart"/>
      <w:r>
        <w:t>Mahanoro</w:t>
      </w:r>
      <w:proofErr w:type="spellEnd"/>
      <w:r>
        <w:t xml:space="preserve">, Toamasina 2, </w:t>
      </w:r>
      <w:proofErr w:type="spellStart"/>
      <w:r>
        <w:t>Amboasary</w:t>
      </w:r>
      <w:proofErr w:type="spellEnd"/>
      <w:r>
        <w:t xml:space="preserve">, </w:t>
      </w:r>
      <w:proofErr w:type="spellStart"/>
      <w:r>
        <w:t>Ambovombe</w:t>
      </w:r>
      <w:proofErr w:type="spellEnd"/>
      <w:r>
        <w:t xml:space="preserve">, </w:t>
      </w:r>
      <w:proofErr w:type="spellStart"/>
      <w:r>
        <w:t>Bekily</w:t>
      </w:r>
      <w:proofErr w:type="spellEnd"/>
      <w:r>
        <w:t xml:space="preserve">, </w:t>
      </w:r>
      <w:proofErr w:type="spellStart"/>
      <w:r>
        <w:t>Tsihombe</w:t>
      </w:r>
      <w:proofErr w:type="spellEnd"/>
      <w:r>
        <w:t xml:space="preserve">, </w:t>
      </w:r>
      <w:proofErr w:type="spellStart"/>
      <w:r>
        <w:t>Beloha</w:t>
      </w:r>
      <w:proofErr w:type="spellEnd"/>
      <w:r>
        <w:t xml:space="preserve">,  Toliara 2. Ci-après les nombres de bénéficiaires prévisionnels ainsi que le total des transferts correspondant pour la durée du programme. </w:t>
      </w:r>
    </w:p>
    <w:p w14:paraId="0C29209F" w14:textId="77777777" w:rsidR="00126DB1" w:rsidRDefault="00126DB1">
      <w:pPr>
        <w:ind w:right="567"/>
      </w:pPr>
    </w:p>
    <w:p w14:paraId="20D53D6B" w14:textId="77777777" w:rsidR="00126DB1" w:rsidRDefault="008C2E57">
      <w:pPr>
        <w:ind w:right="567"/>
        <w:rPr>
          <w:b/>
          <w:i/>
        </w:rPr>
      </w:pPr>
      <w:r>
        <w:rPr>
          <w:b/>
          <w:i/>
        </w:rPr>
        <w:t>Tableau2- Nombre de bénéficiaires et de transferts TMDH</w:t>
      </w:r>
    </w:p>
    <w:p w14:paraId="2FA1FA8E" w14:textId="77777777" w:rsidR="00126DB1" w:rsidRDefault="00126DB1">
      <w:pPr>
        <w:ind w:right="567"/>
        <w:rPr>
          <w:b/>
          <w:i/>
        </w:rPr>
      </w:pPr>
    </w:p>
    <w:tbl>
      <w:tblPr>
        <w:tblW w:w="9214" w:type="dxa"/>
        <w:tblInd w:w="-10" w:type="dxa"/>
        <w:tblBorders>
          <w:top w:val="single" w:sz="8" w:space="0" w:color="000000"/>
          <w:left w:val="single" w:sz="8" w:space="0" w:color="000000"/>
          <w:right w:val="single" w:sz="8" w:space="0" w:color="000000"/>
          <w:insideV w:val="single" w:sz="8" w:space="0" w:color="000000"/>
        </w:tblBorders>
        <w:tblCellMar>
          <w:left w:w="70" w:type="dxa"/>
          <w:right w:w="70" w:type="dxa"/>
        </w:tblCellMar>
        <w:tblLook w:val="04A0" w:firstRow="1" w:lastRow="0" w:firstColumn="1" w:lastColumn="0" w:noHBand="0" w:noVBand="1"/>
      </w:tblPr>
      <w:tblGrid>
        <w:gridCol w:w="2091"/>
        <w:gridCol w:w="2044"/>
        <w:gridCol w:w="1272"/>
        <w:gridCol w:w="1680"/>
        <w:gridCol w:w="2127"/>
      </w:tblGrid>
      <w:tr w:rsidR="00126DB1" w14:paraId="002829A7" w14:textId="77777777">
        <w:trPr>
          <w:trHeight w:val="1455"/>
        </w:trPr>
        <w:tc>
          <w:tcPr>
            <w:tcW w:w="2091" w:type="dxa"/>
            <w:tcBorders>
              <w:top w:val="single" w:sz="8" w:space="0" w:color="000000"/>
              <w:left w:val="single" w:sz="8" w:space="0" w:color="000000"/>
              <w:right w:val="single" w:sz="8" w:space="0" w:color="000000"/>
            </w:tcBorders>
            <w:shd w:val="clear" w:color="auto" w:fill="auto"/>
            <w:vAlign w:val="center"/>
          </w:tcPr>
          <w:p w14:paraId="7415D467" w14:textId="77777777" w:rsidR="00126DB1" w:rsidRDefault="008C2E57">
            <w:pPr>
              <w:jc w:val="center"/>
              <w:rPr>
                <w:rFonts w:ascii="Calibri" w:hAnsi="Calibri" w:cs="Calibri"/>
                <w:color w:val="000000"/>
                <w:sz w:val="20"/>
                <w:szCs w:val="20"/>
              </w:rPr>
            </w:pPr>
            <w:r>
              <w:rPr>
                <w:rFonts w:ascii="Calibri" w:hAnsi="Calibri"/>
                <w:color w:val="000000"/>
                <w:sz w:val="20"/>
                <w:szCs w:val="20"/>
              </w:rPr>
              <w:t>REGION</w:t>
            </w:r>
          </w:p>
        </w:tc>
        <w:tc>
          <w:tcPr>
            <w:tcW w:w="2044" w:type="dxa"/>
            <w:tcBorders>
              <w:top w:val="single" w:sz="8" w:space="0" w:color="000000"/>
              <w:right w:val="single" w:sz="8" w:space="0" w:color="000000"/>
            </w:tcBorders>
            <w:shd w:val="clear" w:color="auto" w:fill="auto"/>
            <w:vAlign w:val="center"/>
          </w:tcPr>
          <w:p w14:paraId="048263D0" w14:textId="77777777" w:rsidR="00126DB1" w:rsidRDefault="008C2E57">
            <w:pPr>
              <w:jc w:val="center"/>
              <w:rPr>
                <w:rFonts w:ascii="Calibri" w:hAnsi="Calibri" w:cs="Calibri"/>
                <w:color w:val="000000"/>
                <w:sz w:val="20"/>
                <w:szCs w:val="20"/>
              </w:rPr>
            </w:pPr>
            <w:r>
              <w:rPr>
                <w:rFonts w:ascii="Calibri" w:hAnsi="Calibri"/>
                <w:color w:val="000000"/>
                <w:sz w:val="20"/>
                <w:szCs w:val="20"/>
              </w:rPr>
              <w:t>DISTRICT</w:t>
            </w:r>
          </w:p>
        </w:tc>
        <w:tc>
          <w:tcPr>
            <w:tcW w:w="1272" w:type="dxa"/>
            <w:tcBorders>
              <w:top w:val="single" w:sz="8" w:space="0" w:color="000000"/>
              <w:right w:val="single" w:sz="8" w:space="0" w:color="000000"/>
            </w:tcBorders>
            <w:shd w:val="clear" w:color="auto" w:fill="auto"/>
            <w:vAlign w:val="center"/>
          </w:tcPr>
          <w:p w14:paraId="193BE7B9" w14:textId="77777777" w:rsidR="00126DB1" w:rsidRDefault="008C2E57">
            <w:pPr>
              <w:jc w:val="center"/>
              <w:rPr>
                <w:rFonts w:ascii="Calibri" w:hAnsi="Calibri" w:cs="Calibri"/>
                <w:color w:val="000000"/>
                <w:sz w:val="20"/>
                <w:szCs w:val="20"/>
              </w:rPr>
            </w:pPr>
            <w:r>
              <w:rPr>
                <w:rFonts w:ascii="Calibri" w:hAnsi="Calibri"/>
                <w:color w:val="000000"/>
                <w:sz w:val="20"/>
                <w:szCs w:val="20"/>
              </w:rPr>
              <w:t>Nombre prévisionnel des bénéficiaires</w:t>
            </w:r>
          </w:p>
        </w:tc>
        <w:tc>
          <w:tcPr>
            <w:tcW w:w="1680" w:type="dxa"/>
            <w:tcBorders>
              <w:top w:val="single" w:sz="8" w:space="0" w:color="000000"/>
              <w:right w:val="single" w:sz="8" w:space="0" w:color="000000"/>
            </w:tcBorders>
            <w:shd w:val="clear" w:color="auto" w:fill="auto"/>
            <w:vAlign w:val="center"/>
          </w:tcPr>
          <w:p w14:paraId="2A3570C9" w14:textId="77777777" w:rsidR="00126DB1" w:rsidRDefault="008C2E57">
            <w:pPr>
              <w:jc w:val="center"/>
              <w:rPr>
                <w:rFonts w:ascii="Calibri" w:hAnsi="Calibri" w:cs="Calibri"/>
                <w:color w:val="000000"/>
                <w:sz w:val="20"/>
                <w:szCs w:val="20"/>
              </w:rPr>
            </w:pPr>
            <w:r>
              <w:rPr>
                <w:rFonts w:ascii="Calibri" w:hAnsi="Calibri"/>
                <w:color w:val="000000"/>
                <w:sz w:val="20"/>
                <w:szCs w:val="20"/>
              </w:rPr>
              <w:t xml:space="preserve"> </w:t>
            </w:r>
            <w:proofErr w:type="gramStart"/>
            <w:r>
              <w:rPr>
                <w:rFonts w:ascii="Calibri" w:hAnsi="Calibri"/>
                <w:color w:val="000000"/>
                <w:sz w:val="20"/>
                <w:szCs w:val="20"/>
              </w:rPr>
              <w:t>montant</w:t>
            </w:r>
            <w:proofErr w:type="gramEnd"/>
            <w:r>
              <w:rPr>
                <w:rFonts w:ascii="Calibri" w:hAnsi="Calibri"/>
                <w:color w:val="000000"/>
                <w:sz w:val="20"/>
                <w:szCs w:val="20"/>
              </w:rPr>
              <w:t xml:space="preserve"> de transfert par bénéficiaire</w:t>
            </w:r>
          </w:p>
        </w:tc>
        <w:tc>
          <w:tcPr>
            <w:tcW w:w="2127" w:type="dxa"/>
            <w:tcBorders>
              <w:top w:val="single" w:sz="8" w:space="0" w:color="000000"/>
              <w:right w:val="single" w:sz="8" w:space="0" w:color="000000"/>
            </w:tcBorders>
            <w:shd w:val="clear" w:color="auto" w:fill="auto"/>
            <w:vAlign w:val="center"/>
          </w:tcPr>
          <w:p w14:paraId="5F349AEC" w14:textId="77777777" w:rsidR="00126DB1" w:rsidRDefault="008C2E57">
            <w:pPr>
              <w:jc w:val="center"/>
              <w:rPr>
                <w:rFonts w:ascii="Calibri" w:hAnsi="Calibri" w:cs="Calibri"/>
                <w:color w:val="000000"/>
                <w:sz w:val="20"/>
                <w:szCs w:val="20"/>
              </w:rPr>
            </w:pPr>
            <w:proofErr w:type="gramStart"/>
            <w:r>
              <w:rPr>
                <w:rFonts w:ascii="Calibri" w:hAnsi="Calibri" w:cs="Calibri"/>
                <w:color w:val="000000"/>
                <w:sz w:val="20"/>
                <w:szCs w:val="20"/>
              </w:rPr>
              <w:t>montant</w:t>
            </w:r>
            <w:proofErr w:type="gramEnd"/>
            <w:r>
              <w:rPr>
                <w:rFonts w:ascii="Calibri" w:hAnsi="Calibri" w:cs="Calibri"/>
                <w:color w:val="000000"/>
                <w:sz w:val="20"/>
                <w:szCs w:val="20"/>
              </w:rPr>
              <w:t xml:space="preserve"> prévisionnel de transfert durant le programme (15 transfert)</w:t>
            </w:r>
          </w:p>
        </w:tc>
      </w:tr>
      <w:tr w:rsidR="00126DB1" w14:paraId="717CD893" w14:textId="77777777">
        <w:trPr>
          <w:trHeight w:val="300"/>
        </w:trPr>
        <w:tc>
          <w:tcPr>
            <w:tcW w:w="20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D29DF2"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VAKINANKARATRA</w:t>
            </w:r>
          </w:p>
        </w:tc>
        <w:tc>
          <w:tcPr>
            <w:tcW w:w="2044" w:type="dxa"/>
            <w:tcBorders>
              <w:top w:val="single" w:sz="4" w:space="0" w:color="000000"/>
              <w:bottom w:val="single" w:sz="4" w:space="0" w:color="000000"/>
              <w:right w:val="single" w:sz="4" w:space="0" w:color="000000"/>
            </w:tcBorders>
            <w:shd w:val="clear" w:color="auto" w:fill="auto"/>
            <w:vAlign w:val="center"/>
          </w:tcPr>
          <w:p w14:paraId="6E02222E"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BETAFO</w:t>
            </w:r>
          </w:p>
        </w:tc>
        <w:tc>
          <w:tcPr>
            <w:tcW w:w="1272" w:type="dxa"/>
            <w:tcBorders>
              <w:top w:val="single" w:sz="4" w:space="0" w:color="000000"/>
              <w:bottom w:val="single" w:sz="4" w:space="0" w:color="000000"/>
              <w:right w:val="single" w:sz="4" w:space="0" w:color="000000"/>
            </w:tcBorders>
            <w:shd w:val="clear" w:color="auto" w:fill="auto"/>
            <w:vAlign w:val="bottom"/>
          </w:tcPr>
          <w:p w14:paraId="62E6420F"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5 395</w:t>
            </w:r>
          </w:p>
        </w:tc>
        <w:tc>
          <w:tcPr>
            <w:tcW w:w="1680" w:type="dxa"/>
            <w:tcBorders>
              <w:top w:val="single" w:sz="4" w:space="0" w:color="000000"/>
              <w:bottom w:val="single" w:sz="4" w:space="0" w:color="000000"/>
              <w:right w:val="single" w:sz="4" w:space="0" w:color="000000"/>
            </w:tcBorders>
            <w:shd w:val="clear" w:color="auto" w:fill="auto"/>
            <w:vAlign w:val="bottom"/>
          </w:tcPr>
          <w:p w14:paraId="36812353"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40 000 à 60 000</w:t>
            </w:r>
          </w:p>
        </w:tc>
        <w:tc>
          <w:tcPr>
            <w:tcW w:w="2127" w:type="dxa"/>
            <w:tcBorders>
              <w:top w:val="single" w:sz="4" w:space="0" w:color="000000"/>
              <w:bottom w:val="single" w:sz="4" w:space="0" w:color="000000"/>
              <w:right w:val="single" w:sz="4" w:space="0" w:color="000000"/>
            </w:tcBorders>
            <w:shd w:val="clear" w:color="auto" w:fill="auto"/>
            <w:vAlign w:val="bottom"/>
          </w:tcPr>
          <w:p w14:paraId="1334F3E2"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 xml:space="preserve">         4 046 250 000,00   </w:t>
            </w:r>
          </w:p>
        </w:tc>
      </w:tr>
      <w:tr w:rsidR="00126DB1" w14:paraId="33221D70" w14:textId="77777777">
        <w:trPr>
          <w:trHeight w:val="300"/>
        </w:trPr>
        <w:tc>
          <w:tcPr>
            <w:tcW w:w="20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8D7770" w14:textId="77777777" w:rsidR="00126DB1" w:rsidRDefault="00126DB1">
            <w:pPr>
              <w:jc w:val="left"/>
              <w:rPr>
                <w:rFonts w:ascii="Calibri" w:hAnsi="Calibri" w:cs="Calibri"/>
                <w:color w:val="000000"/>
                <w:sz w:val="20"/>
                <w:szCs w:val="20"/>
              </w:rPr>
            </w:pPr>
          </w:p>
        </w:tc>
        <w:tc>
          <w:tcPr>
            <w:tcW w:w="2044" w:type="dxa"/>
            <w:tcBorders>
              <w:bottom w:val="single" w:sz="4" w:space="0" w:color="000000"/>
              <w:right w:val="single" w:sz="4" w:space="0" w:color="000000"/>
            </w:tcBorders>
            <w:shd w:val="clear" w:color="auto" w:fill="auto"/>
            <w:vAlign w:val="center"/>
          </w:tcPr>
          <w:p w14:paraId="172BDD3B"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FARATSIHO</w:t>
            </w:r>
          </w:p>
        </w:tc>
        <w:tc>
          <w:tcPr>
            <w:tcW w:w="1272" w:type="dxa"/>
            <w:tcBorders>
              <w:bottom w:val="single" w:sz="4" w:space="0" w:color="000000"/>
              <w:right w:val="single" w:sz="4" w:space="0" w:color="000000"/>
            </w:tcBorders>
            <w:shd w:val="clear" w:color="auto" w:fill="auto"/>
            <w:vAlign w:val="bottom"/>
          </w:tcPr>
          <w:p w14:paraId="08D2D63C"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6 392</w:t>
            </w:r>
          </w:p>
        </w:tc>
        <w:tc>
          <w:tcPr>
            <w:tcW w:w="1680" w:type="dxa"/>
            <w:tcBorders>
              <w:bottom w:val="single" w:sz="4" w:space="0" w:color="000000"/>
              <w:right w:val="single" w:sz="4" w:space="0" w:color="000000"/>
            </w:tcBorders>
            <w:shd w:val="clear" w:color="auto" w:fill="auto"/>
            <w:vAlign w:val="bottom"/>
          </w:tcPr>
          <w:p w14:paraId="1B717F4F"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40 000 à 60 000</w:t>
            </w:r>
          </w:p>
        </w:tc>
        <w:tc>
          <w:tcPr>
            <w:tcW w:w="2127" w:type="dxa"/>
            <w:tcBorders>
              <w:bottom w:val="single" w:sz="4" w:space="0" w:color="000000"/>
              <w:right w:val="single" w:sz="4" w:space="0" w:color="000000"/>
            </w:tcBorders>
            <w:shd w:val="clear" w:color="auto" w:fill="auto"/>
            <w:vAlign w:val="bottom"/>
          </w:tcPr>
          <w:p w14:paraId="6C2DC66C"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 xml:space="preserve">         4 794 000 000,00   </w:t>
            </w:r>
          </w:p>
        </w:tc>
      </w:tr>
      <w:tr w:rsidR="00126DB1" w14:paraId="35A92B18" w14:textId="77777777">
        <w:trPr>
          <w:trHeight w:val="300"/>
        </w:trPr>
        <w:tc>
          <w:tcPr>
            <w:tcW w:w="2091" w:type="dxa"/>
            <w:tcBorders>
              <w:left w:val="single" w:sz="4" w:space="0" w:color="000000"/>
              <w:bottom w:val="single" w:sz="4" w:space="0" w:color="000000"/>
              <w:right w:val="single" w:sz="4" w:space="0" w:color="000000"/>
            </w:tcBorders>
            <w:shd w:val="clear" w:color="auto" w:fill="auto"/>
            <w:vAlign w:val="center"/>
          </w:tcPr>
          <w:p w14:paraId="3ED0236F"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HAUTE MATSIATRA</w:t>
            </w:r>
          </w:p>
        </w:tc>
        <w:tc>
          <w:tcPr>
            <w:tcW w:w="2044" w:type="dxa"/>
            <w:tcBorders>
              <w:bottom w:val="single" w:sz="4" w:space="0" w:color="000000"/>
              <w:right w:val="single" w:sz="4" w:space="0" w:color="000000"/>
            </w:tcBorders>
            <w:shd w:val="clear" w:color="auto" w:fill="auto"/>
            <w:vAlign w:val="center"/>
          </w:tcPr>
          <w:p w14:paraId="51EC39AE"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AMBOHIMAHASOA</w:t>
            </w:r>
          </w:p>
        </w:tc>
        <w:tc>
          <w:tcPr>
            <w:tcW w:w="1272" w:type="dxa"/>
            <w:tcBorders>
              <w:bottom w:val="single" w:sz="4" w:space="0" w:color="000000"/>
              <w:right w:val="single" w:sz="4" w:space="0" w:color="000000"/>
            </w:tcBorders>
            <w:shd w:val="clear" w:color="auto" w:fill="auto"/>
            <w:vAlign w:val="bottom"/>
          </w:tcPr>
          <w:p w14:paraId="6E6DB8AD"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6 753</w:t>
            </w:r>
          </w:p>
        </w:tc>
        <w:tc>
          <w:tcPr>
            <w:tcW w:w="1680" w:type="dxa"/>
            <w:tcBorders>
              <w:bottom w:val="single" w:sz="4" w:space="0" w:color="000000"/>
              <w:right w:val="single" w:sz="4" w:space="0" w:color="000000"/>
            </w:tcBorders>
            <w:shd w:val="clear" w:color="auto" w:fill="auto"/>
            <w:vAlign w:val="bottom"/>
          </w:tcPr>
          <w:p w14:paraId="0252B758"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40 000 à 60 000</w:t>
            </w:r>
          </w:p>
        </w:tc>
        <w:tc>
          <w:tcPr>
            <w:tcW w:w="2127" w:type="dxa"/>
            <w:tcBorders>
              <w:bottom w:val="single" w:sz="4" w:space="0" w:color="000000"/>
              <w:right w:val="single" w:sz="4" w:space="0" w:color="000000"/>
            </w:tcBorders>
            <w:shd w:val="clear" w:color="auto" w:fill="auto"/>
            <w:vAlign w:val="bottom"/>
          </w:tcPr>
          <w:p w14:paraId="3A504D10"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 xml:space="preserve">         5 064 750 000,00   </w:t>
            </w:r>
          </w:p>
        </w:tc>
      </w:tr>
      <w:tr w:rsidR="00126DB1" w14:paraId="13A774A9" w14:textId="77777777">
        <w:trPr>
          <w:trHeight w:val="300"/>
        </w:trPr>
        <w:tc>
          <w:tcPr>
            <w:tcW w:w="2091" w:type="dxa"/>
            <w:vMerge w:val="restart"/>
            <w:tcBorders>
              <w:left w:val="single" w:sz="4" w:space="0" w:color="000000"/>
              <w:bottom w:val="single" w:sz="4" w:space="0" w:color="000000"/>
              <w:right w:val="single" w:sz="4" w:space="0" w:color="000000"/>
            </w:tcBorders>
            <w:shd w:val="clear" w:color="auto" w:fill="auto"/>
            <w:vAlign w:val="center"/>
          </w:tcPr>
          <w:p w14:paraId="35E6FEC0"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ANTSINANANA</w:t>
            </w:r>
          </w:p>
        </w:tc>
        <w:tc>
          <w:tcPr>
            <w:tcW w:w="2044" w:type="dxa"/>
            <w:tcBorders>
              <w:bottom w:val="single" w:sz="4" w:space="0" w:color="000000"/>
              <w:right w:val="single" w:sz="4" w:space="0" w:color="000000"/>
            </w:tcBorders>
            <w:shd w:val="clear" w:color="auto" w:fill="auto"/>
            <w:vAlign w:val="center"/>
          </w:tcPr>
          <w:p w14:paraId="79C7ED14"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MAHANORO</w:t>
            </w:r>
          </w:p>
        </w:tc>
        <w:tc>
          <w:tcPr>
            <w:tcW w:w="1272" w:type="dxa"/>
            <w:tcBorders>
              <w:bottom w:val="single" w:sz="4" w:space="0" w:color="000000"/>
              <w:right w:val="single" w:sz="4" w:space="0" w:color="000000"/>
            </w:tcBorders>
            <w:shd w:val="clear" w:color="auto" w:fill="auto"/>
            <w:vAlign w:val="bottom"/>
          </w:tcPr>
          <w:p w14:paraId="05DF1699"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4 154</w:t>
            </w:r>
          </w:p>
        </w:tc>
        <w:tc>
          <w:tcPr>
            <w:tcW w:w="1680" w:type="dxa"/>
            <w:tcBorders>
              <w:bottom w:val="single" w:sz="4" w:space="0" w:color="000000"/>
              <w:right w:val="single" w:sz="4" w:space="0" w:color="000000"/>
            </w:tcBorders>
            <w:shd w:val="clear" w:color="auto" w:fill="auto"/>
            <w:vAlign w:val="bottom"/>
          </w:tcPr>
          <w:p w14:paraId="5A72A8A6"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40 000 à 60 000</w:t>
            </w:r>
          </w:p>
        </w:tc>
        <w:tc>
          <w:tcPr>
            <w:tcW w:w="2127" w:type="dxa"/>
            <w:tcBorders>
              <w:bottom w:val="single" w:sz="4" w:space="0" w:color="000000"/>
              <w:right w:val="single" w:sz="4" w:space="0" w:color="000000"/>
            </w:tcBorders>
            <w:shd w:val="clear" w:color="auto" w:fill="auto"/>
            <w:vAlign w:val="bottom"/>
          </w:tcPr>
          <w:p w14:paraId="7BBCC390"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 xml:space="preserve">         3 115 500 000,00   </w:t>
            </w:r>
          </w:p>
        </w:tc>
      </w:tr>
      <w:tr w:rsidR="00126DB1" w14:paraId="1A659DE4" w14:textId="77777777">
        <w:trPr>
          <w:trHeight w:val="300"/>
        </w:trPr>
        <w:tc>
          <w:tcPr>
            <w:tcW w:w="2091" w:type="dxa"/>
            <w:vMerge/>
            <w:tcBorders>
              <w:left w:val="single" w:sz="4" w:space="0" w:color="000000"/>
              <w:bottom w:val="single" w:sz="4" w:space="0" w:color="000000"/>
              <w:right w:val="single" w:sz="4" w:space="0" w:color="000000"/>
            </w:tcBorders>
            <w:shd w:val="clear" w:color="auto" w:fill="auto"/>
            <w:vAlign w:val="center"/>
          </w:tcPr>
          <w:p w14:paraId="1A3328ED" w14:textId="77777777" w:rsidR="00126DB1" w:rsidRDefault="00126DB1">
            <w:pPr>
              <w:jc w:val="left"/>
              <w:rPr>
                <w:rFonts w:ascii="Calibri" w:hAnsi="Calibri" w:cs="Calibri"/>
                <w:color w:val="000000"/>
                <w:sz w:val="20"/>
                <w:szCs w:val="20"/>
              </w:rPr>
            </w:pPr>
          </w:p>
        </w:tc>
        <w:tc>
          <w:tcPr>
            <w:tcW w:w="2044" w:type="dxa"/>
            <w:tcBorders>
              <w:bottom w:val="single" w:sz="4" w:space="0" w:color="000000"/>
              <w:right w:val="single" w:sz="4" w:space="0" w:color="000000"/>
            </w:tcBorders>
            <w:shd w:val="clear" w:color="auto" w:fill="auto"/>
            <w:vAlign w:val="center"/>
          </w:tcPr>
          <w:p w14:paraId="37B5C20C"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TOAMASINA II</w:t>
            </w:r>
          </w:p>
        </w:tc>
        <w:tc>
          <w:tcPr>
            <w:tcW w:w="1272" w:type="dxa"/>
            <w:tcBorders>
              <w:bottom w:val="single" w:sz="4" w:space="0" w:color="000000"/>
              <w:right w:val="single" w:sz="4" w:space="0" w:color="000000"/>
            </w:tcBorders>
            <w:shd w:val="clear" w:color="auto" w:fill="auto"/>
            <w:vAlign w:val="bottom"/>
          </w:tcPr>
          <w:p w14:paraId="52E217CE"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3 501</w:t>
            </w:r>
          </w:p>
        </w:tc>
        <w:tc>
          <w:tcPr>
            <w:tcW w:w="1680" w:type="dxa"/>
            <w:tcBorders>
              <w:bottom w:val="single" w:sz="4" w:space="0" w:color="000000"/>
              <w:right w:val="single" w:sz="4" w:space="0" w:color="000000"/>
            </w:tcBorders>
            <w:shd w:val="clear" w:color="auto" w:fill="auto"/>
            <w:vAlign w:val="bottom"/>
          </w:tcPr>
          <w:p w14:paraId="46B824AF"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40 000 à 60 000</w:t>
            </w:r>
          </w:p>
        </w:tc>
        <w:tc>
          <w:tcPr>
            <w:tcW w:w="2127" w:type="dxa"/>
            <w:tcBorders>
              <w:bottom w:val="single" w:sz="4" w:space="0" w:color="000000"/>
              <w:right w:val="single" w:sz="4" w:space="0" w:color="000000"/>
            </w:tcBorders>
            <w:shd w:val="clear" w:color="auto" w:fill="auto"/>
            <w:vAlign w:val="bottom"/>
          </w:tcPr>
          <w:p w14:paraId="2164282A"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 xml:space="preserve">         2 625 750 000,00   </w:t>
            </w:r>
          </w:p>
        </w:tc>
      </w:tr>
      <w:tr w:rsidR="00126DB1" w14:paraId="1CEDE056" w14:textId="77777777">
        <w:trPr>
          <w:trHeight w:val="300"/>
        </w:trPr>
        <w:tc>
          <w:tcPr>
            <w:tcW w:w="2091" w:type="dxa"/>
            <w:vMerge w:val="restart"/>
            <w:tcBorders>
              <w:left w:val="single" w:sz="4" w:space="0" w:color="000000"/>
              <w:bottom w:val="single" w:sz="4" w:space="0" w:color="000000"/>
              <w:right w:val="single" w:sz="4" w:space="0" w:color="000000"/>
            </w:tcBorders>
            <w:shd w:val="clear" w:color="auto" w:fill="auto"/>
            <w:vAlign w:val="center"/>
          </w:tcPr>
          <w:p w14:paraId="4766E402"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ATSIMO ANDREFANA</w:t>
            </w:r>
          </w:p>
        </w:tc>
        <w:tc>
          <w:tcPr>
            <w:tcW w:w="2044" w:type="dxa"/>
            <w:tcBorders>
              <w:bottom w:val="single" w:sz="4" w:space="0" w:color="000000"/>
              <w:right w:val="single" w:sz="4" w:space="0" w:color="000000"/>
            </w:tcBorders>
            <w:shd w:val="clear" w:color="auto" w:fill="auto"/>
            <w:vAlign w:val="bottom"/>
          </w:tcPr>
          <w:p w14:paraId="5145F2B3" w14:textId="77777777" w:rsidR="00126DB1" w:rsidRDefault="008C2E57">
            <w:pPr>
              <w:ind w:firstLine="200"/>
              <w:jc w:val="left"/>
              <w:rPr>
                <w:rFonts w:ascii="Calibri" w:hAnsi="Calibri" w:cs="Calibri"/>
                <w:color w:val="000000"/>
                <w:sz w:val="20"/>
                <w:szCs w:val="20"/>
              </w:rPr>
            </w:pPr>
            <w:r>
              <w:rPr>
                <w:rFonts w:ascii="Calibri" w:hAnsi="Calibri" w:cs="Calibri"/>
                <w:color w:val="000000"/>
                <w:sz w:val="20"/>
                <w:szCs w:val="20"/>
              </w:rPr>
              <w:t>BETIOKY SUD</w:t>
            </w:r>
          </w:p>
        </w:tc>
        <w:tc>
          <w:tcPr>
            <w:tcW w:w="1272" w:type="dxa"/>
            <w:tcBorders>
              <w:bottom w:val="single" w:sz="4" w:space="0" w:color="000000"/>
              <w:right w:val="single" w:sz="4" w:space="0" w:color="000000"/>
            </w:tcBorders>
            <w:shd w:val="clear" w:color="auto" w:fill="auto"/>
            <w:vAlign w:val="bottom"/>
          </w:tcPr>
          <w:p w14:paraId="037C8BEE"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4 258</w:t>
            </w:r>
          </w:p>
        </w:tc>
        <w:tc>
          <w:tcPr>
            <w:tcW w:w="1680" w:type="dxa"/>
            <w:tcBorders>
              <w:bottom w:val="single" w:sz="4" w:space="0" w:color="000000"/>
              <w:right w:val="single" w:sz="4" w:space="0" w:color="000000"/>
            </w:tcBorders>
            <w:shd w:val="clear" w:color="auto" w:fill="auto"/>
            <w:vAlign w:val="bottom"/>
          </w:tcPr>
          <w:p w14:paraId="5C10E733"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40 000 à 60 000</w:t>
            </w:r>
          </w:p>
        </w:tc>
        <w:tc>
          <w:tcPr>
            <w:tcW w:w="2127" w:type="dxa"/>
            <w:tcBorders>
              <w:bottom w:val="single" w:sz="4" w:space="0" w:color="000000"/>
              <w:right w:val="single" w:sz="4" w:space="0" w:color="000000"/>
            </w:tcBorders>
            <w:shd w:val="clear" w:color="auto" w:fill="auto"/>
            <w:vAlign w:val="bottom"/>
          </w:tcPr>
          <w:p w14:paraId="0F828325"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 xml:space="preserve">         3 193 500 000,00   </w:t>
            </w:r>
          </w:p>
        </w:tc>
      </w:tr>
      <w:tr w:rsidR="00126DB1" w14:paraId="783731A9" w14:textId="77777777">
        <w:trPr>
          <w:trHeight w:val="300"/>
        </w:trPr>
        <w:tc>
          <w:tcPr>
            <w:tcW w:w="2091" w:type="dxa"/>
            <w:vMerge/>
            <w:tcBorders>
              <w:left w:val="single" w:sz="4" w:space="0" w:color="000000"/>
              <w:bottom w:val="single" w:sz="4" w:space="0" w:color="000000"/>
              <w:right w:val="single" w:sz="4" w:space="0" w:color="000000"/>
            </w:tcBorders>
            <w:shd w:val="clear" w:color="auto" w:fill="auto"/>
            <w:vAlign w:val="center"/>
          </w:tcPr>
          <w:p w14:paraId="6CC3F810" w14:textId="77777777" w:rsidR="00126DB1" w:rsidRDefault="00126DB1">
            <w:pPr>
              <w:jc w:val="left"/>
              <w:rPr>
                <w:rFonts w:ascii="Calibri" w:hAnsi="Calibri" w:cs="Calibri"/>
                <w:color w:val="000000"/>
                <w:sz w:val="20"/>
                <w:szCs w:val="20"/>
              </w:rPr>
            </w:pPr>
          </w:p>
        </w:tc>
        <w:tc>
          <w:tcPr>
            <w:tcW w:w="2044" w:type="dxa"/>
            <w:tcBorders>
              <w:bottom w:val="single" w:sz="4" w:space="0" w:color="000000"/>
              <w:right w:val="single" w:sz="4" w:space="0" w:color="000000"/>
            </w:tcBorders>
            <w:shd w:val="clear" w:color="auto" w:fill="auto"/>
            <w:vAlign w:val="bottom"/>
          </w:tcPr>
          <w:p w14:paraId="35108030" w14:textId="77777777" w:rsidR="00126DB1" w:rsidRDefault="008C2E57">
            <w:pPr>
              <w:ind w:firstLine="200"/>
              <w:jc w:val="left"/>
              <w:rPr>
                <w:rFonts w:ascii="Calibri" w:hAnsi="Calibri" w:cs="Calibri"/>
                <w:color w:val="000000"/>
                <w:sz w:val="20"/>
                <w:szCs w:val="20"/>
              </w:rPr>
            </w:pPr>
            <w:r>
              <w:rPr>
                <w:rFonts w:ascii="Calibri" w:hAnsi="Calibri" w:cs="Calibri"/>
                <w:color w:val="000000"/>
                <w:sz w:val="20"/>
                <w:szCs w:val="20"/>
              </w:rPr>
              <w:t>TOLIARA II</w:t>
            </w:r>
          </w:p>
        </w:tc>
        <w:tc>
          <w:tcPr>
            <w:tcW w:w="1272" w:type="dxa"/>
            <w:tcBorders>
              <w:bottom w:val="single" w:sz="4" w:space="0" w:color="000000"/>
              <w:right w:val="single" w:sz="4" w:space="0" w:color="000000"/>
            </w:tcBorders>
            <w:shd w:val="clear" w:color="auto" w:fill="auto"/>
            <w:vAlign w:val="bottom"/>
          </w:tcPr>
          <w:p w14:paraId="55128D60"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5 300</w:t>
            </w:r>
          </w:p>
        </w:tc>
        <w:tc>
          <w:tcPr>
            <w:tcW w:w="1680" w:type="dxa"/>
            <w:tcBorders>
              <w:bottom w:val="single" w:sz="4" w:space="0" w:color="000000"/>
              <w:right w:val="single" w:sz="4" w:space="0" w:color="000000"/>
            </w:tcBorders>
            <w:shd w:val="clear" w:color="auto" w:fill="auto"/>
            <w:vAlign w:val="bottom"/>
          </w:tcPr>
          <w:p w14:paraId="43C670D8"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40 000 à 60 000</w:t>
            </w:r>
          </w:p>
        </w:tc>
        <w:tc>
          <w:tcPr>
            <w:tcW w:w="2127" w:type="dxa"/>
            <w:tcBorders>
              <w:bottom w:val="single" w:sz="4" w:space="0" w:color="000000"/>
              <w:right w:val="single" w:sz="4" w:space="0" w:color="000000"/>
            </w:tcBorders>
            <w:shd w:val="clear" w:color="auto" w:fill="auto"/>
            <w:vAlign w:val="bottom"/>
          </w:tcPr>
          <w:p w14:paraId="2EE3E78F"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 xml:space="preserve">         3 975 000 000,00   </w:t>
            </w:r>
          </w:p>
        </w:tc>
      </w:tr>
      <w:tr w:rsidR="00126DB1" w14:paraId="7128C2F7" w14:textId="77777777">
        <w:trPr>
          <w:trHeight w:val="300"/>
        </w:trPr>
        <w:tc>
          <w:tcPr>
            <w:tcW w:w="2091" w:type="dxa"/>
            <w:tcBorders>
              <w:left w:val="single" w:sz="4" w:space="0" w:color="000000"/>
              <w:bottom w:val="single" w:sz="4" w:space="0" w:color="000000"/>
              <w:right w:val="single" w:sz="4" w:space="0" w:color="000000"/>
            </w:tcBorders>
            <w:shd w:val="clear" w:color="auto" w:fill="auto"/>
            <w:vAlign w:val="bottom"/>
          </w:tcPr>
          <w:p w14:paraId="787922FE"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VATOVAVY FITOVINANY</w:t>
            </w:r>
          </w:p>
        </w:tc>
        <w:tc>
          <w:tcPr>
            <w:tcW w:w="2044" w:type="dxa"/>
            <w:tcBorders>
              <w:bottom w:val="single" w:sz="4" w:space="0" w:color="000000"/>
              <w:right w:val="single" w:sz="4" w:space="0" w:color="000000"/>
            </w:tcBorders>
            <w:shd w:val="clear" w:color="auto" w:fill="auto"/>
            <w:vAlign w:val="center"/>
          </w:tcPr>
          <w:p w14:paraId="5A405B30"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VOHIPENO</w:t>
            </w:r>
          </w:p>
        </w:tc>
        <w:tc>
          <w:tcPr>
            <w:tcW w:w="1272" w:type="dxa"/>
            <w:tcBorders>
              <w:bottom w:val="single" w:sz="4" w:space="0" w:color="000000"/>
              <w:right w:val="single" w:sz="4" w:space="0" w:color="000000"/>
            </w:tcBorders>
            <w:shd w:val="clear" w:color="auto" w:fill="auto"/>
            <w:vAlign w:val="bottom"/>
          </w:tcPr>
          <w:p w14:paraId="71F73672"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8 088</w:t>
            </w:r>
          </w:p>
        </w:tc>
        <w:tc>
          <w:tcPr>
            <w:tcW w:w="1680" w:type="dxa"/>
            <w:tcBorders>
              <w:bottom w:val="single" w:sz="4" w:space="0" w:color="000000"/>
              <w:right w:val="single" w:sz="4" w:space="0" w:color="000000"/>
            </w:tcBorders>
            <w:shd w:val="clear" w:color="auto" w:fill="auto"/>
            <w:vAlign w:val="bottom"/>
          </w:tcPr>
          <w:p w14:paraId="33F0B6D7"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40 000 à 60 000</w:t>
            </w:r>
          </w:p>
        </w:tc>
        <w:tc>
          <w:tcPr>
            <w:tcW w:w="2127" w:type="dxa"/>
            <w:tcBorders>
              <w:bottom w:val="single" w:sz="4" w:space="0" w:color="000000"/>
              <w:right w:val="single" w:sz="4" w:space="0" w:color="000000"/>
            </w:tcBorders>
            <w:shd w:val="clear" w:color="auto" w:fill="auto"/>
            <w:vAlign w:val="bottom"/>
          </w:tcPr>
          <w:p w14:paraId="34A320A9"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 xml:space="preserve">         6 066 000 000,00   </w:t>
            </w:r>
          </w:p>
        </w:tc>
      </w:tr>
      <w:tr w:rsidR="00126DB1" w14:paraId="7841D54F" w14:textId="77777777">
        <w:trPr>
          <w:trHeight w:val="300"/>
        </w:trPr>
        <w:tc>
          <w:tcPr>
            <w:tcW w:w="2091" w:type="dxa"/>
            <w:vMerge w:val="restart"/>
            <w:tcBorders>
              <w:left w:val="single" w:sz="4" w:space="0" w:color="000000"/>
              <w:bottom w:val="single" w:sz="4" w:space="0" w:color="000000"/>
              <w:right w:val="single" w:sz="4" w:space="0" w:color="000000"/>
            </w:tcBorders>
            <w:shd w:val="clear" w:color="auto" w:fill="auto"/>
            <w:vAlign w:val="center"/>
          </w:tcPr>
          <w:p w14:paraId="43CC7A30"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ANDORY</w:t>
            </w:r>
          </w:p>
        </w:tc>
        <w:tc>
          <w:tcPr>
            <w:tcW w:w="2044" w:type="dxa"/>
            <w:tcBorders>
              <w:bottom w:val="single" w:sz="4" w:space="0" w:color="000000"/>
              <w:right w:val="single" w:sz="4" w:space="0" w:color="000000"/>
            </w:tcBorders>
            <w:shd w:val="clear" w:color="auto" w:fill="auto"/>
            <w:vAlign w:val="bottom"/>
          </w:tcPr>
          <w:p w14:paraId="1678520A"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AMBOVOMBE ANDROY</w:t>
            </w:r>
          </w:p>
        </w:tc>
        <w:tc>
          <w:tcPr>
            <w:tcW w:w="1272" w:type="dxa"/>
            <w:tcBorders>
              <w:bottom w:val="single" w:sz="4" w:space="0" w:color="000000"/>
              <w:right w:val="single" w:sz="4" w:space="0" w:color="000000"/>
            </w:tcBorders>
            <w:shd w:val="clear" w:color="auto" w:fill="auto"/>
            <w:vAlign w:val="bottom"/>
          </w:tcPr>
          <w:p w14:paraId="20F011DE"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20 568</w:t>
            </w:r>
          </w:p>
        </w:tc>
        <w:tc>
          <w:tcPr>
            <w:tcW w:w="1680" w:type="dxa"/>
            <w:tcBorders>
              <w:bottom w:val="single" w:sz="4" w:space="0" w:color="000000"/>
              <w:right w:val="single" w:sz="4" w:space="0" w:color="000000"/>
            </w:tcBorders>
            <w:shd w:val="clear" w:color="auto" w:fill="auto"/>
            <w:vAlign w:val="bottom"/>
          </w:tcPr>
          <w:p w14:paraId="34EA2905"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40 000 à 60 000</w:t>
            </w:r>
          </w:p>
        </w:tc>
        <w:tc>
          <w:tcPr>
            <w:tcW w:w="2127" w:type="dxa"/>
            <w:tcBorders>
              <w:bottom w:val="single" w:sz="4" w:space="0" w:color="000000"/>
              <w:right w:val="single" w:sz="4" w:space="0" w:color="000000"/>
            </w:tcBorders>
            <w:shd w:val="clear" w:color="auto" w:fill="auto"/>
            <w:vAlign w:val="bottom"/>
          </w:tcPr>
          <w:p w14:paraId="16348793"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 xml:space="preserve">       15 426 000 000,00   </w:t>
            </w:r>
          </w:p>
        </w:tc>
      </w:tr>
      <w:tr w:rsidR="00126DB1" w14:paraId="7F9DCB08" w14:textId="77777777">
        <w:trPr>
          <w:trHeight w:val="300"/>
        </w:trPr>
        <w:tc>
          <w:tcPr>
            <w:tcW w:w="2091" w:type="dxa"/>
            <w:vMerge/>
            <w:tcBorders>
              <w:left w:val="single" w:sz="4" w:space="0" w:color="000000"/>
              <w:bottom w:val="single" w:sz="4" w:space="0" w:color="000000"/>
              <w:right w:val="single" w:sz="4" w:space="0" w:color="000000"/>
            </w:tcBorders>
            <w:shd w:val="clear" w:color="auto" w:fill="auto"/>
            <w:vAlign w:val="center"/>
          </w:tcPr>
          <w:p w14:paraId="10A13FC6" w14:textId="77777777" w:rsidR="00126DB1" w:rsidRDefault="00126DB1">
            <w:pPr>
              <w:jc w:val="left"/>
              <w:rPr>
                <w:rFonts w:ascii="Calibri" w:hAnsi="Calibri" w:cs="Calibri"/>
                <w:color w:val="000000"/>
                <w:sz w:val="20"/>
                <w:szCs w:val="20"/>
              </w:rPr>
            </w:pPr>
          </w:p>
        </w:tc>
        <w:tc>
          <w:tcPr>
            <w:tcW w:w="2044" w:type="dxa"/>
            <w:tcBorders>
              <w:bottom w:val="single" w:sz="4" w:space="0" w:color="000000"/>
              <w:right w:val="single" w:sz="4" w:space="0" w:color="000000"/>
            </w:tcBorders>
            <w:shd w:val="clear" w:color="auto" w:fill="auto"/>
            <w:vAlign w:val="bottom"/>
          </w:tcPr>
          <w:p w14:paraId="15183D03"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BEKILY</w:t>
            </w:r>
          </w:p>
        </w:tc>
        <w:tc>
          <w:tcPr>
            <w:tcW w:w="1272" w:type="dxa"/>
            <w:tcBorders>
              <w:bottom w:val="single" w:sz="4" w:space="0" w:color="000000"/>
              <w:right w:val="single" w:sz="4" w:space="0" w:color="000000"/>
            </w:tcBorders>
            <w:shd w:val="clear" w:color="auto" w:fill="auto"/>
            <w:vAlign w:val="bottom"/>
          </w:tcPr>
          <w:p w14:paraId="5DE96AC3"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10 370</w:t>
            </w:r>
          </w:p>
        </w:tc>
        <w:tc>
          <w:tcPr>
            <w:tcW w:w="1680" w:type="dxa"/>
            <w:tcBorders>
              <w:bottom w:val="single" w:sz="4" w:space="0" w:color="000000"/>
              <w:right w:val="single" w:sz="4" w:space="0" w:color="000000"/>
            </w:tcBorders>
            <w:shd w:val="clear" w:color="auto" w:fill="auto"/>
            <w:vAlign w:val="bottom"/>
          </w:tcPr>
          <w:p w14:paraId="5EB1B067"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40 000 à 60 000</w:t>
            </w:r>
          </w:p>
        </w:tc>
        <w:tc>
          <w:tcPr>
            <w:tcW w:w="2127" w:type="dxa"/>
            <w:tcBorders>
              <w:bottom w:val="single" w:sz="4" w:space="0" w:color="000000"/>
              <w:right w:val="single" w:sz="4" w:space="0" w:color="000000"/>
            </w:tcBorders>
            <w:shd w:val="clear" w:color="auto" w:fill="auto"/>
            <w:vAlign w:val="bottom"/>
          </w:tcPr>
          <w:p w14:paraId="61C93908"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 xml:space="preserve">         7 777 500 000,00   </w:t>
            </w:r>
          </w:p>
        </w:tc>
      </w:tr>
      <w:tr w:rsidR="00126DB1" w14:paraId="572FE5CA" w14:textId="77777777">
        <w:trPr>
          <w:trHeight w:val="300"/>
        </w:trPr>
        <w:tc>
          <w:tcPr>
            <w:tcW w:w="2091" w:type="dxa"/>
            <w:vMerge/>
            <w:tcBorders>
              <w:left w:val="single" w:sz="4" w:space="0" w:color="000000"/>
              <w:bottom w:val="single" w:sz="4" w:space="0" w:color="000000"/>
              <w:right w:val="single" w:sz="4" w:space="0" w:color="000000"/>
            </w:tcBorders>
            <w:shd w:val="clear" w:color="auto" w:fill="auto"/>
            <w:vAlign w:val="center"/>
          </w:tcPr>
          <w:p w14:paraId="6382FE05" w14:textId="77777777" w:rsidR="00126DB1" w:rsidRDefault="00126DB1">
            <w:pPr>
              <w:jc w:val="left"/>
              <w:rPr>
                <w:rFonts w:ascii="Calibri" w:hAnsi="Calibri" w:cs="Calibri"/>
                <w:color w:val="000000"/>
                <w:sz w:val="20"/>
                <w:szCs w:val="20"/>
              </w:rPr>
            </w:pPr>
          </w:p>
        </w:tc>
        <w:tc>
          <w:tcPr>
            <w:tcW w:w="2044" w:type="dxa"/>
            <w:tcBorders>
              <w:bottom w:val="single" w:sz="4" w:space="0" w:color="000000"/>
              <w:right w:val="single" w:sz="4" w:space="0" w:color="000000"/>
            </w:tcBorders>
            <w:shd w:val="clear" w:color="auto" w:fill="auto"/>
            <w:vAlign w:val="bottom"/>
          </w:tcPr>
          <w:p w14:paraId="3357F96F"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BELOHA</w:t>
            </w:r>
          </w:p>
        </w:tc>
        <w:tc>
          <w:tcPr>
            <w:tcW w:w="1272" w:type="dxa"/>
            <w:tcBorders>
              <w:bottom w:val="single" w:sz="4" w:space="0" w:color="000000"/>
              <w:right w:val="single" w:sz="4" w:space="0" w:color="000000"/>
            </w:tcBorders>
            <w:shd w:val="clear" w:color="auto" w:fill="auto"/>
            <w:vAlign w:val="bottom"/>
          </w:tcPr>
          <w:p w14:paraId="5108D537"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11 224</w:t>
            </w:r>
          </w:p>
        </w:tc>
        <w:tc>
          <w:tcPr>
            <w:tcW w:w="1680" w:type="dxa"/>
            <w:tcBorders>
              <w:bottom w:val="single" w:sz="4" w:space="0" w:color="000000"/>
              <w:right w:val="single" w:sz="4" w:space="0" w:color="000000"/>
            </w:tcBorders>
            <w:shd w:val="clear" w:color="auto" w:fill="auto"/>
            <w:vAlign w:val="bottom"/>
          </w:tcPr>
          <w:p w14:paraId="5AE87A2B"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40 000 à 60 000</w:t>
            </w:r>
          </w:p>
        </w:tc>
        <w:tc>
          <w:tcPr>
            <w:tcW w:w="2127" w:type="dxa"/>
            <w:tcBorders>
              <w:bottom w:val="single" w:sz="4" w:space="0" w:color="000000"/>
              <w:right w:val="single" w:sz="4" w:space="0" w:color="000000"/>
            </w:tcBorders>
            <w:shd w:val="clear" w:color="auto" w:fill="auto"/>
            <w:vAlign w:val="bottom"/>
          </w:tcPr>
          <w:p w14:paraId="23A39FA3"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 xml:space="preserve">         8 418 000 000,00   </w:t>
            </w:r>
          </w:p>
        </w:tc>
      </w:tr>
      <w:tr w:rsidR="00126DB1" w14:paraId="65BA18DB" w14:textId="77777777">
        <w:trPr>
          <w:trHeight w:val="300"/>
        </w:trPr>
        <w:tc>
          <w:tcPr>
            <w:tcW w:w="2091" w:type="dxa"/>
            <w:vMerge/>
            <w:tcBorders>
              <w:left w:val="single" w:sz="4" w:space="0" w:color="000000"/>
              <w:bottom w:val="single" w:sz="4" w:space="0" w:color="000000"/>
              <w:right w:val="single" w:sz="4" w:space="0" w:color="000000"/>
            </w:tcBorders>
            <w:shd w:val="clear" w:color="auto" w:fill="auto"/>
            <w:vAlign w:val="center"/>
          </w:tcPr>
          <w:p w14:paraId="638F4B5A" w14:textId="77777777" w:rsidR="00126DB1" w:rsidRDefault="00126DB1">
            <w:pPr>
              <w:jc w:val="left"/>
              <w:rPr>
                <w:rFonts w:ascii="Calibri" w:hAnsi="Calibri" w:cs="Calibri"/>
                <w:color w:val="000000"/>
                <w:sz w:val="20"/>
                <w:szCs w:val="20"/>
              </w:rPr>
            </w:pPr>
          </w:p>
        </w:tc>
        <w:tc>
          <w:tcPr>
            <w:tcW w:w="2044" w:type="dxa"/>
            <w:tcBorders>
              <w:bottom w:val="single" w:sz="4" w:space="0" w:color="000000"/>
              <w:right w:val="single" w:sz="4" w:space="0" w:color="000000"/>
            </w:tcBorders>
            <w:shd w:val="clear" w:color="auto" w:fill="auto"/>
            <w:vAlign w:val="bottom"/>
          </w:tcPr>
          <w:p w14:paraId="0B4A94CA"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TSIHOMBE</w:t>
            </w:r>
          </w:p>
        </w:tc>
        <w:tc>
          <w:tcPr>
            <w:tcW w:w="1272" w:type="dxa"/>
            <w:tcBorders>
              <w:bottom w:val="single" w:sz="4" w:space="0" w:color="000000"/>
              <w:right w:val="single" w:sz="4" w:space="0" w:color="000000"/>
            </w:tcBorders>
            <w:shd w:val="clear" w:color="auto" w:fill="auto"/>
            <w:vAlign w:val="bottom"/>
          </w:tcPr>
          <w:p w14:paraId="473ABBBC"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16 402</w:t>
            </w:r>
          </w:p>
        </w:tc>
        <w:tc>
          <w:tcPr>
            <w:tcW w:w="1680" w:type="dxa"/>
            <w:tcBorders>
              <w:bottom w:val="single" w:sz="4" w:space="0" w:color="000000"/>
              <w:right w:val="single" w:sz="4" w:space="0" w:color="000000"/>
            </w:tcBorders>
            <w:shd w:val="clear" w:color="auto" w:fill="auto"/>
            <w:vAlign w:val="bottom"/>
          </w:tcPr>
          <w:p w14:paraId="3340F789"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40 000 à 60 000</w:t>
            </w:r>
          </w:p>
        </w:tc>
        <w:tc>
          <w:tcPr>
            <w:tcW w:w="2127" w:type="dxa"/>
            <w:tcBorders>
              <w:bottom w:val="single" w:sz="4" w:space="0" w:color="000000"/>
              <w:right w:val="single" w:sz="4" w:space="0" w:color="000000"/>
            </w:tcBorders>
            <w:shd w:val="clear" w:color="auto" w:fill="auto"/>
            <w:vAlign w:val="bottom"/>
          </w:tcPr>
          <w:p w14:paraId="5E650D3F"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 xml:space="preserve">       12 301 500 000,00   </w:t>
            </w:r>
          </w:p>
        </w:tc>
      </w:tr>
      <w:tr w:rsidR="00126DB1" w14:paraId="570F04BF" w14:textId="77777777">
        <w:trPr>
          <w:trHeight w:val="300"/>
        </w:trPr>
        <w:tc>
          <w:tcPr>
            <w:tcW w:w="2091" w:type="dxa"/>
            <w:tcBorders>
              <w:left w:val="single" w:sz="4" w:space="0" w:color="000000"/>
              <w:bottom w:val="single" w:sz="4" w:space="0" w:color="000000"/>
              <w:right w:val="single" w:sz="4" w:space="0" w:color="000000"/>
            </w:tcBorders>
            <w:shd w:val="clear" w:color="auto" w:fill="auto"/>
            <w:vAlign w:val="bottom"/>
          </w:tcPr>
          <w:p w14:paraId="2F5863C6"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ANOSY</w:t>
            </w:r>
          </w:p>
        </w:tc>
        <w:tc>
          <w:tcPr>
            <w:tcW w:w="2044" w:type="dxa"/>
            <w:tcBorders>
              <w:bottom w:val="single" w:sz="4" w:space="0" w:color="000000"/>
              <w:right w:val="single" w:sz="4" w:space="0" w:color="000000"/>
            </w:tcBorders>
            <w:shd w:val="clear" w:color="auto" w:fill="auto"/>
            <w:vAlign w:val="bottom"/>
          </w:tcPr>
          <w:p w14:paraId="6CF87114"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AMBOASARY ATSIMO</w:t>
            </w:r>
          </w:p>
        </w:tc>
        <w:tc>
          <w:tcPr>
            <w:tcW w:w="1272" w:type="dxa"/>
            <w:tcBorders>
              <w:bottom w:val="single" w:sz="4" w:space="0" w:color="000000"/>
              <w:right w:val="single" w:sz="4" w:space="0" w:color="000000"/>
            </w:tcBorders>
            <w:shd w:val="clear" w:color="auto" w:fill="auto"/>
            <w:vAlign w:val="bottom"/>
          </w:tcPr>
          <w:p w14:paraId="1216F76B"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12 067</w:t>
            </w:r>
          </w:p>
        </w:tc>
        <w:tc>
          <w:tcPr>
            <w:tcW w:w="1680" w:type="dxa"/>
            <w:tcBorders>
              <w:bottom w:val="single" w:sz="4" w:space="0" w:color="000000"/>
              <w:right w:val="single" w:sz="4" w:space="0" w:color="000000"/>
            </w:tcBorders>
            <w:shd w:val="clear" w:color="auto" w:fill="auto"/>
            <w:vAlign w:val="bottom"/>
          </w:tcPr>
          <w:p w14:paraId="161E6DC2"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40 000 à 60 000</w:t>
            </w:r>
          </w:p>
        </w:tc>
        <w:tc>
          <w:tcPr>
            <w:tcW w:w="2127" w:type="dxa"/>
            <w:tcBorders>
              <w:bottom w:val="single" w:sz="4" w:space="0" w:color="000000"/>
              <w:right w:val="single" w:sz="4" w:space="0" w:color="000000"/>
            </w:tcBorders>
            <w:shd w:val="clear" w:color="auto" w:fill="auto"/>
            <w:vAlign w:val="bottom"/>
          </w:tcPr>
          <w:p w14:paraId="2865738F"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 xml:space="preserve">         9 050 250 000,00   </w:t>
            </w:r>
          </w:p>
        </w:tc>
      </w:tr>
      <w:tr w:rsidR="00126DB1" w14:paraId="25B1558E" w14:textId="77777777">
        <w:trPr>
          <w:trHeight w:val="300"/>
        </w:trPr>
        <w:tc>
          <w:tcPr>
            <w:tcW w:w="2091" w:type="dxa"/>
            <w:shd w:val="clear" w:color="auto" w:fill="auto"/>
            <w:vAlign w:val="bottom"/>
          </w:tcPr>
          <w:p w14:paraId="7635FE62" w14:textId="77777777" w:rsidR="00126DB1" w:rsidRDefault="00126DB1">
            <w:pPr>
              <w:jc w:val="left"/>
              <w:rPr>
                <w:rFonts w:ascii="Calibri" w:hAnsi="Calibri" w:cs="Calibri"/>
                <w:color w:val="000000"/>
                <w:sz w:val="20"/>
                <w:szCs w:val="20"/>
              </w:rPr>
            </w:pPr>
          </w:p>
        </w:tc>
        <w:tc>
          <w:tcPr>
            <w:tcW w:w="2044" w:type="dxa"/>
            <w:tcBorders>
              <w:left w:val="single" w:sz="4" w:space="0" w:color="000000"/>
              <w:bottom w:val="single" w:sz="4" w:space="0" w:color="000000"/>
              <w:right w:val="single" w:sz="4" w:space="0" w:color="000000"/>
            </w:tcBorders>
            <w:shd w:val="clear" w:color="auto" w:fill="auto"/>
            <w:vAlign w:val="bottom"/>
          </w:tcPr>
          <w:p w14:paraId="106CDE21" w14:textId="77777777" w:rsidR="00126DB1" w:rsidRDefault="008C2E57">
            <w:pPr>
              <w:jc w:val="left"/>
              <w:rPr>
                <w:rFonts w:ascii="Calibri" w:hAnsi="Calibri" w:cs="Calibri"/>
                <w:color w:val="000000"/>
                <w:sz w:val="20"/>
                <w:szCs w:val="20"/>
              </w:rPr>
            </w:pPr>
            <w:r>
              <w:rPr>
                <w:rFonts w:ascii="Calibri" w:hAnsi="Calibri" w:cs="Calibri"/>
                <w:color w:val="000000"/>
                <w:sz w:val="20"/>
                <w:szCs w:val="20"/>
              </w:rPr>
              <w:t>TOTAL</w:t>
            </w:r>
          </w:p>
        </w:tc>
        <w:tc>
          <w:tcPr>
            <w:tcW w:w="1272" w:type="dxa"/>
            <w:tcBorders>
              <w:bottom w:val="single" w:sz="4" w:space="0" w:color="000000"/>
              <w:right w:val="single" w:sz="4" w:space="0" w:color="000000"/>
            </w:tcBorders>
            <w:shd w:val="clear" w:color="auto" w:fill="auto"/>
            <w:vAlign w:val="bottom"/>
          </w:tcPr>
          <w:p w14:paraId="3B925A73" w14:textId="78BD6E0E" w:rsidR="00126DB1" w:rsidRDefault="00B154D4">
            <w:pPr>
              <w:jc w:val="center"/>
              <w:rPr>
                <w:rFonts w:ascii="Calibri" w:hAnsi="Calibri" w:cs="Calibri"/>
                <w:color w:val="000000"/>
                <w:sz w:val="20"/>
                <w:szCs w:val="20"/>
              </w:rPr>
            </w:pPr>
            <w:r>
              <w:rPr>
                <w:rFonts w:ascii="Calibri" w:hAnsi="Calibri" w:cs="Calibri"/>
                <w:color w:val="000000"/>
                <w:sz w:val="20"/>
                <w:szCs w:val="20"/>
              </w:rPr>
              <w:t>114 472</w:t>
            </w:r>
          </w:p>
        </w:tc>
        <w:tc>
          <w:tcPr>
            <w:tcW w:w="1680" w:type="dxa"/>
            <w:tcBorders>
              <w:bottom w:val="single" w:sz="4" w:space="0" w:color="000000"/>
              <w:right w:val="single" w:sz="4" w:space="0" w:color="000000"/>
            </w:tcBorders>
            <w:shd w:val="clear" w:color="auto" w:fill="auto"/>
            <w:vAlign w:val="center"/>
          </w:tcPr>
          <w:p w14:paraId="78A4CC09" w14:textId="77777777" w:rsidR="00126DB1" w:rsidRDefault="008C2E57">
            <w:pPr>
              <w:jc w:val="center"/>
              <w:rPr>
                <w:rFonts w:ascii="Calibri" w:hAnsi="Calibri" w:cs="Calibri"/>
                <w:color w:val="000000"/>
                <w:sz w:val="20"/>
                <w:szCs w:val="20"/>
              </w:rPr>
            </w:pPr>
            <w:r>
              <w:rPr>
                <w:rFonts w:ascii="Calibri" w:hAnsi="Calibri" w:cs="Calibri"/>
                <w:color w:val="000000"/>
                <w:sz w:val="20"/>
                <w:szCs w:val="20"/>
              </w:rPr>
              <w:t>-</w:t>
            </w:r>
          </w:p>
        </w:tc>
        <w:tc>
          <w:tcPr>
            <w:tcW w:w="2127" w:type="dxa"/>
            <w:tcBorders>
              <w:bottom w:val="single" w:sz="4" w:space="0" w:color="000000"/>
              <w:right w:val="single" w:sz="4" w:space="0" w:color="000000"/>
            </w:tcBorders>
            <w:shd w:val="clear" w:color="auto" w:fill="auto"/>
            <w:vAlign w:val="bottom"/>
          </w:tcPr>
          <w:p w14:paraId="65346270" w14:textId="1634016E" w:rsidR="00126DB1" w:rsidRDefault="008C2E57">
            <w:pPr>
              <w:jc w:val="left"/>
              <w:rPr>
                <w:rFonts w:ascii="Calibri" w:hAnsi="Calibri" w:cs="Calibri"/>
                <w:color w:val="000000"/>
                <w:sz w:val="20"/>
                <w:szCs w:val="20"/>
              </w:rPr>
            </w:pPr>
            <w:r>
              <w:rPr>
                <w:rFonts w:ascii="Calibri" w:hAnsi="Calibri" w:cs="Calibri"/>
                <w:color w:val="000000"/>
                <w:sz w:val="20"/>
                <w:szCs w:val="20"/>
              </w:rPr>
              <w:t xml:space="preserve">       8</w:t>
            </w:r>
            <w:r w:rsidR="00B154D4">
              <w:rPr>
                <w:rFonts w:ascii="Calibri" w:hAnsi="Calibri" w:cs="Calibri"/>
                <w:color w:val="000000"/>
                <w:sz w:val="20"/>
                <w:szCs w:val="20"/>
              </w:rPr>
              <w:t>5 854</w:t>
            </w:r>
            <w:r>
              <w:rPr>
                <w:rFonts w:ascii="Calibri" w:hAnsi="Calibri" w:cs="Calibri"/>
                <w:color w:val="000000"/>
                <w:sz w:val="20"/>
                <w:szCs w:val="20"/>
              </w:rPr>
              <w:t xml:space="preserve"> 000 000,00   </w:t>
            </w:r>
          </w:p>
        </w:tc>
      </w:tr>
    </w:tbl>
    <w:p w14:paraId="1F2BED86" w14:textId="77777777" w:rsidR="00126DB1" w:rsidRDefault="00126DB1">
      <w:pPr>
        <w:ind w:right="567"/>
        <w:rPr>
          <w:b/>
          <w:i/>
        </w:rPr>
      </w:pPr>
    </w:p>
    <w:p w14:paraId="7343E559" w14:textId="77777777" w:rsidR="00126DB1" w:rsidRDefault="00126DB1">
      <w:pPr>
        <w:ind w:right="567"/>
      </w:pPr>
    </w:p>
    <w:p w14:paraId="0EC285F7" w14:textId="77777777" w:rsidR="00126DB1" w:rsidRDefault="008C2E57">
      <w:pPr>
        <w:ind w:right="567"/>
      </w:pPr>
      <w:r>
        <w:t xml:space="preserve"> Le tableau détaillé avec les Communes et Fokontany est récapitulé en annexe pour les deux composantes.</w:t>
      </w:r>
    </w:p>
    <w:p w14:paraId="579A074E" w14:textId="77777777" w:rsidR="00126DB1" w:rsidRDefault="00126DB1">
      <w:pPr>
        <w:shd w:val="clear" w:color="auto" w:fill="FFFFFF" w:themeFill="background1"/>
        <w:spacing w:after="120"/>
        <w:ind w:right="567"/>
        <w:outlineLvl w:val="0"/>
        <w:rPr>
          <w:b/>
          <w:i/>
        </w:rPr>
      </w:pPr>
    </w:p>
    <w:p w14:paraId="4B172C7A" w14:textId="77777777" w:rsidR="00126DB1" w:rsidRDefault="008C2E57">
      <w:pPr>
        <w:shd w:val="clear" w:color="auto" w:fill="FFFFFF" w:themeFill="background1"/>
        <w:spacing w:after="120"/>
        <w:ind w:right="567" w:firstLine="709"/>
        <w:outlineLvl w:val="0"/>
        <w:rPr>
          <w:b/>
          <w:i/>
        </w:rPr>
      </w:pPr>
      <w:r>
        <w:rPr>
          <w:b/>
          <w:i/>
        </w:rPr>
        <w:lastRenderedPageBreak/>
        <w:t>3.4 Groupes cibles</w:t>
      </w:r>
    </w:p>
    <w:p w14:paraId="531228CC" w14:textId="77777777" w:rsidR="00126DB1" w:rsidRDefault="008C2E57">
      <w:r>
        <w:t xml:space="preserve">Les groupes cibles se décomposent en deux </w:t>
      </w:r>
      <w:proofErr w:type="gramStart"/>
      <w:r>
        <w:t>catégories:</w:t>
      </w:r>
      <w:proofErr w:type="gramEnd"/>
    </w:p>
    <w:p w14:paraId="7AB40A33" w14:textId="77777777" w:rsidR="00126DB1" w:rsidRDefault="00126DB1"/>
    <w:p w14:paraId="67F83C8A" w14:textId="77777777" w:rsidR="00126DB1" w:rsidRDefault="008C2E57">
      <w:pPr>
        <w:numPr>
          <w:ilvl w:val="0"/>
          <w:numId w:val="2"/>
        </w:numPr>
        <w:ind w:left="0"/>
        <w:contextualSpacing/>
        <w:rPr>
          <w:rFonts w:eastAsia="Calibri"/>
          <w:lang w:eastAsia="en-US"/>
        </w:rPr>
      </w:pPr>
      <w:r>
        <w:rPr>
          <w:rFonts w:eastAsia="Calibri"/>
          <w:lang w:eastAsia="en-US"/>
        </w:rPr>
        <w:t>1</w:t>
      </w:r>
      <w:r>
        <w:rPr>
          <w:rFonts w:eastAsia="Calibri"/>
          <w:vertAlign w:val="superscript"/>
          <w:lang w:eastAsia="en-US"/>
        </w:rPr>
        <w:t>ère</w:t>
      </w:r>
      <w:r>
        <w:rPr>
          <w:rFonts w:eastAsia="Calibri"/>
          <w:lang w:eastAsia="en-US"/>
        </w:rPr>
        <w:t xml:space="preserve"> catégorie (ACT-P) : les travailleurs de l’ACT-P appartenant aux familles les plus pauvres dans les zones ciblées </w:t>
      </w:r>
    </w:p>
    <w:p w14:paraId="39375745" w14:textId="77777777" w:rsidR="00126DB1" w:rsidRDefault="00126DB1">
      <w:pPr>
        <w:contextualSpacing/>
        <w:rPr>
          <w:rFonts w:eastAsia="Calibri"/>
          <w:lang w:eastAsia="en-US"/>
        </w:rPr>
      </w:pPr>
    </w:p>
    <w:p w14:paraId="1B1BC371" w14:textId="77777777" w:rsidR="00126DB1" w:rsidRDefault="008C2E57">
      <w:pPr>
        <w:pStyle w:val="Lgende"/>
        <w:spacing w:after="120"/>
        <w:jc w:val="both"/>
        <w:rPr>
          <w:rFonts w:ascii="Times New Roman" w:hAnsi="Times New Roman" w:cs="Times New Roman"/>
        </w:rPr>
      </w:pPr>
      <w:r>
        <w:rPr>
          <w:rFonts w:ascii="Times New Roman" w:eastAsia="Times New Roman" w:hAnsi="Times New Roman" w:cs="Times New Roman"/>
          <w:b w:val="0"/>
          <w:bCs w:val="0"/>
          <w:color w:val="auto"/>
          <w:spacing w:val="0"/>
          <w:kern w:val="0"/>
          <w:lang w:eastAsia="fr-FR"/>
        </w:rPr>
        <w:t>2</w:t>
      </w:r>
      <w:r>
        <w:rPr>
          <w:rFonts w:ascii="Times New Roman" w:eastAsia="Times New Roman" w:hAnsi="Times New Roman" w:cs="Times New Roman"/>
          <w:b w:val="0"/>
          <w:bCs w:val="0"/>
          <w:color w:val="auto"/>
          <w:spacing w:val="0"/>
          <w:kern w:val="0"/>
          <w:vertAlign w:val="superscript"/>
          <w:lang w:eastAsia="fr-FR"/>
        </w:rPr>
        <w:t>ème</w:t>
      </w:r>
      <w:r>
        <w:rPr>
          <w:rFonts w:ascii="Times New Roman" w:eastAsia="Times New Roman" w:hAnsi="Times New Roman" w:cs="Times New Roman"/>
          <w:b w:val="0"/>
          <w:bCs w:val="0"/>
          <w:color w:val="auto"/>
          <w:spacing w:val="0"/>
          <w:kern w:val="0"/>
          <w:lang w:eastAsia="fr-FR"/>
        </w:rPr>
        <w:t xml:space="preserve"> catégorie (TMDH) : les ménages sélectionnés comme vulnérables et intégrés dans le programme du TMDH dans les zones ciblées</w:t>
      </w:r>
    </w:p>
    <w:p w14:paraId="13258392" w14:textId="77777777" w:rsidR="00126DB1" w:rsidRDefault="00126DB1">
      <w:pPr>
        <w:pStyle w:val="Paragraphedeliste"/>
        <w:shd w:val="clear" w:color="auto" w:fill="FFFFFF" w:themeFill="background1"/>
        <w:spacing w:after="120"/>
        <w:ind w:left="0" w:right="567"/>
        <w:jc w:val="both"/>
        <w:rPr>
          <w:rFonts w:ascii="Times New Roman" w:hAnsi="Times New Roman"/>
          <w:sz w:val="24"/>
          <w:szCs w:val="24"/>
          <w:lang w:val="fr-FR"/>
        </w:rPr>
      </w:pPr>
    </w:p>
    <w:p w14:paraId="21353063" w14:textId="77777777" w:rsidR="00126DB1" w:rsidRDefault="008C2E57">
      <w:pPr>
        <w:pStyle w:val="Paragraphedeliste"/>
        <w:numPr>
          <w:ilvl w:val="0"/>
          <w:numId w:val="3"/>
        </w:numPr>
        <w:shd w:val="clear" w:color="auto" w:fill="FFFFFF" w:themeFill="background1"/>
        <w:spacing w:after="120" w:line="240" w:lineRule="auto"/>
        <w:ind w:left="0" w:right="567" w:firstLine="0"/>
        <w:jc w:val="both"/>
        <w:rPr>
          <w:rFonts w:ascii="Times New Roman" w:hAnsi="Times New Roman"/>
          <w:b/>
          <w:caps/>
          <w:sz w:val="24"/>
          <w:szCs w:val="24"/>
          <w:lang w:val="fr-FR"/>
        </w:rPr>
      </w:pPr>
      <w:r>
        <w:rPr>
          <w:rFonts w:ascii="Times New Roman" w:hAnsi="Times New Roman"/>
          <w:b/>
          <w:caps/>
          <w:sz w:val="24"/>
          <w:szCs w:val="24"/>
          <w:lang w:val="fr-FR"/>
        </w:rPr>
        <w:t>Outils et livrables</w:t>
      </w:r>
    </w:p>
    <w:p w14:paraId="108E1039" w14:textId="77777777" w:rsidR="00126DB1" w:rsidRDefault="008C2E57">
      <w:pPr>
        <w:pStyle w:val="Paragraphedeliste"/>
        <w:shd w:val="clear" w:color="auto" w:fill="FFFFFF" w:themeFill="background1"/>
        <w:spacing w:after="120" w:line="240" w:lineRule="auto"/>
        <w:ind w:left="0" w:right="567"/>
        <w:jc w:val="both"/>
        <w:rPr>
          <w:rFonts w:ascii="Times New Roman" w:hAnsi="Times New Roman"/>
          <w:b/>
          <w:sz w:val="24"/>
          <w:szCs w:val="24"/>
          <w:lang w:val="fr-FR"/>
        </w:rPr>
      </w:pPr>
      <w:r>
        <w:rPr>
          <w:rFonts w:ascii="Times New Roman" w:hAnsi="Times New Roman"/>
          <w:b/>
          <w:sz w:val="24"/>
          <w:szCs w:val="24"/>
          <w:lang w:val="fr-FR"/>
        </w:rPr>
        <w:tab/>
      </w:r>
    </w:p>
    <w:p w14:paraId="35110E69" w14:textId="77777777" w:rsidR="00126DB1" w:rsidRDefault="008C2E57">
      <w:pPr>
        <w:pStyle w:val="Paragraphedeliste"/>
        <w:shd w:val="clear" w:color="auto" w:fill="FFFFFF" w:themeFill="background1"/>
        <w:spacing w:after="120" w:line="240" w:lineRule="auto"/>
        <w:ind w:left="0" w:right="567"/>
        <w:jc w:val="both"/>
        <w:outlineLvl w:val="0"/>
        <w:rPr>
          <w:rFonts w:ascii="Times New Roman" w:hAnsi="Times New Roman"/>
          <w:b/>
          <w:sz w:val="24"/>
          <w:szCs w:val="24"/>
          <w:lang w:val="fr-FR"/>
        </w:rPr>
      </w:pPr>
      <w:r>
        <w:rPr>
          <w:rFonts w:ascii="Times New Roman" w:hAnsi="Times New Roman"/>
          <w:b/>
          <w:sz w:val="24"/>
          <w:szCs w:val="24"/>
          <w:lang w:val="fr-FR"/>
        </w:rPr>
        <w:tab/>
      </w:r>
      <w:r>
        <w:rPr>
          <w:rFonts w:ascii="Times New Roman" w:hAnsi="Times New Roman"/>
          <w:b/>
          <w:i/>
          <w:sz w:val="24"/>
          <w:szCs w:val="24"/>
          <w:lang w:val="fr-FR"/>
        </w:rPr>
        <w:t>4.1 Outils financiers</w:t>
      </w:r>
    </w:p>
    <w:p w14:paraId="6A62925B" w14:textId="77777777" w:rsidR="00126DB1" w:rsidRDefault="008C2E57">
      <w:pPr>
        <w:shd w:val="clear" w:color="auto" w:fill="FFFFFF" w:themeFill="background1"/>
        <w:spacing w:after="120"/>
      </w:pPr>
      <w:r>
        <w:t>Le Prestataire de Service tiendra les registres et les comptes ayant trait aux dépenses encourues dans le cadre de la convention.</w:t>
      </w:r>
    </w:p>
    <w:p w14:paraId="6295A072" w14:textId="77777777" w:rsidR="00126DB1" w:rsidRDefault="008C2E57">
      <w:pPr>
        <w:pStyle w:val="Paragraphedeliste"/>
        <w:shd w:val="clear" w:color="auto" w:fill="FFFFFF" w:themeFill="background1"/>
        <w:spacing w:after="120" w:line="240" w:lineRule="auto"/>
        <w:ind w:left="0"/>
        <w:jc w:val="both"/>
        <w:rPr>
          <w:rFonts w:ascii="Times New Roman" w:hAnsi="Times New Roman"/>
          <w:sz w:val="24"/>
          <w:szCs w:val="24"/>
          <w:lang w:val="fr-FR"/>
        </w:rPr>
      </w:pPr>
      <w:r>
        <w:rPr>
          <w:rFonts w:ascii="Times New Roman" w:hAnsi="Times New Roman"/>
          <w:sz w:val="24"/>
          <w:szCs w:val="24"/>
          <w:lang w:val="fr-FR"/>
        </w:rPr>
        <w:t>Le Prestataire de Service fournira, avec les rapports mentionnés ci-dessous, un relevé détaillé et émargé par chaque bénéficiaire des transferts effectués (état de paiement) au FID pour permettre de faire le rapprochement des sommes effectivement transférés et payés. Ce relevé ou état de paiement sera remis au FID sous version électronique et version physique au même titre que le corps du rapport intermédiaire dans le paragraphe 4,2-a.</w:t>
      </w:r>
    </w:p>
    <w:p w14:paraId="21392B21" w14:textId="77777777" w:rsidR="00126DB1" w:rsidRDefault="00126DB1">
      <w:pPr>
        <w:pStyle w:val="Paragraphedeliste"/>
        <w:shd w:val="clear" w:color="auto" w:fill="FFFFFF" w:themeFill="background1"/>
        <w:spacing w:after="120" w:line="240" w:lineRule="auto"/>
        <w:ind w:left="0" w:right="567"/>
        <w:jc w:val="both"/>
        <w:rPr>
          <w:rFonts w:ascii="Times New Roman" w:hAnsi="Times New Roman"/>
          <w:sz w:val="24"/>
          <w:szCs w:val="24"/>
          <w:u w:val="single"/>
          <w:lang w:val="fr-FR"/>
        </w:rPr>
      </w:pPr>
    </w:p>
    <w:p w14:paraId="2938522D" w14:textId="77777777" w:rsidR="00126DB1" w:rsidRDefault="008C2E57">
      <w:pPr>
        <w:pStyle w:val="Paragraphedeliste"/>
        <w:shd w:val="clear" w:color="auto" w:fill="FFFFFF" w:themeFill="background1"/>
        <w:spacing w:after="120" w:line="240" w:lineRule="auto"/>
        <w:ind w:left="0" w:right="567"/>
        <w:jc w:val="both"/>
        <w:outlineLvl w:val="0"/>
        <w:rPr>
          <w:rFonts w:ascii="Times New Roman" w:hAnsi="Times New Roman"/>
          <w:b/>
          <w:i/>
          <w:sz w:val="24"/>
          <w:szCs w:val="24"/>
          <w:lang w:val="fr-FR"/>
        </w:rPr>
      </w:pPr>
      <w:r>
        <w:rPr>
          <w:rFonts w:ascii="Times New Roman" w:hAnsi="Times New Roman"/>
          <w:b/>
          <w:i/>
          <w:sz w:val="24"/>
          <w:szCs w:val="24"/>
          <w:lang w:val="fr-FR"/>
        </w:rPr>
        <w:tab/>
        <w:t>4.2 Rapports</w:t>
      </w:r>
    </w:p>
    <w:p w14:paraId="70B5633C" w14:textId="77777777" w:rsidR="00126DB1" w:rsidRDefault="00126DB1">
      <w:pPr>
        <w:shd w:val="clear" w:color="auto" w:fill="FFFFFF" w:themeFill="background1"/>
        <w:spacing w:after="120"/>
        <w:ind w:left="1440"/>
        <w:rPr>
          <w:i/>
        </w:rPr>
      </w:pPr>
    </w:p>
    <w:p w14:paraId="7765DF07" w14:textId="642793A1" w:rsidR="00126DB1" w:rsidRDefault="008C2E57" w:rsidP="00C451A4">
      <w:pPr>
        <w:spacing w:after="120"/>
      </w:pPr>
      <w:r>
        <w:t>Le Prestataire de Service Financier soumettra au FID deux rapports :</w:t>
      </w:r>
    </w:p>
    <w:p w14:paraId="1A2A0974" w14:textId="77777777" w:rsidR="00126DB1" w:rsidRDefault="008C2E57">
      <w:pPr>
        <w:pStyle w:val="Paragraphedeliste"/>
        <w:numPr>
          <w:ilvl w:val="0"/>
          <w:numId w:val="4"/>
        </w:numPr>
        <w:spacing w:after="120" w:line="240" w:lineRule="auto"/>
        <w:ind w:left="0" w:firstLine="0"/>
        <w:jc w:val="both"/>
        <w:rPr>
          <w:rFonts w:ascii="Times New Roman" w:hAnsi="Times New Roman"/>
          <w:i/>
          <w:sz w:val="24"/>
          <w:szCs w:val="24"/>
          <w:lang w:val="fr-FR"/>
        </w:rPr>
      </w:pPr>
      <w:r>
        <w:rPr>
          <w:rFonts w:ascii="Times New Roman" w:hAnsi="Times New Roman"/>
          <w:i/>
          <w:sz w:val="24"/>
          <w:szCs w:val="24"/>
          <w:lang w:val="fr-FR"/>
        </w:rPr>
        <w:t>Rapports intermédiaires</w:t>
      </w:r>
    </w:p>
    <w:p w14:paraId="59B96EFF" w14:textId="77777777" w:rsidR="00126DB1" w:rsidRDefault="00126DB1">
      <w:pPr>
        <w:pStyle w:val="Paragraphedeliste"/>
        <w:spacing w:after="120" w:line="240" w:lineRule="auto"/>
        <w:ind w:left="0"/>
        <w:jc w:val="both"/>
        <w:rPr>
          <w:rFonts w:ascii="Times New Roman" w:hAnsi="Times New Roman"/>
          <w:i/>
          <w:sz w:val="24"/>
          <w:szCs w:val="24"/>
          <w:lang w:val="fr-FR"/>
        </w:rPr>
      </w:pPr>
    </w:p>
    <w:p w14:paraId="39E40DE5" w14:textId="77777777" w:rsidR="00126DB1" w:rsidRDefault="008C2E57">
      <w:pPr>
        <w:spacing w:after="120"/>
      </w:pPr>
      <w:r>
        <w:t xml:space="preserve">Pour le TMDH, les rapports intermédiaires </w:t>
      </w:r>
      <w:proofErr w:type="gramStart"/>
      <w:r>
        <w:t>dressent  l’état</w:t>
      </w:r>
      <w:proofErr w:type="gramEnd"/>
      <w:r>
        <w:t xml:space="preserve"> de l’utilisation de chaque tranche de financement  transféré à son compte. Le rapport détaillé sera établi suivant le canevas qui lui sera remis à la signature de la convention, sur l’exécution des paiements en faveur bénéficiaires cités plus haut.</w:t>
      </w:r>
    </w:p>
    <w:p w14:paraId="7CF5DB2F" w14:textId="77777777" w:rsidR="00126DB1" w:rsidRDefault="008C2E5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283"/>
      </w:pPr>
      <w:r>
        <w:t xml:space="preserve">Le rapport sera remis au FID au plus tard 07 jours après la fin de chaque paiement. Le rapport sera établi en une version électronique et en une version physique. Les états de paiement émargés sont les annexes du rapport intermédiaire. </w:t>
      </w:r>
    </w:p>
    <w:p w14:paraId="7EE6A7D6" w14:textId="77777777" w:rsidR="00126DB1" w:rsidRDefault="008C2E57">
      <w:pPr>
        <w:spacing w:after="120"/>
      </w:pPr>
      <w:r>
        <w:t>Le rapport sera établi par l'agence payeur et visé par la Direction Inter Régionale du FID. Après la réception du rapport, des vérifications seront faites par FID et un état de réconciliation sur la distribution est envoyé aux prestataires pour la confirmation des montants des absents à rembourser et justification d’écart au cas où il y en a.</w:t>
      </w:r>
    </w:p>
    <w:p w14:paraId="71C1B00E" w14:textId="77777777" w:rsidR="00126DB1" w:rsidRDefault="008C2E57">
      <w:pPr>
        <w:pStyle w:val="Paragraphedeliste"/>
        <w:numPr>
          <w:ilvl w:val="0"/>
          <w:numId w:val="4"/>
        </w:numPr>
        <w:shd w:val="clear" w:color="auto" w:fill="FFFFFF" w:themeFill="background1"/>
        <w:spacing w:after="120" w:line="240" w:lineRule="auto"/>
        <w:jc w:val="both"/>
        <w:rPr>
          <w:rFonts w:ascii="Times New Roman" w:hAnsi="Times New Roman"/>
          <w:i/>
          <w:sz w:val="24"/>
          <w:szCs w:val="24"/>
          <w:lang w:val="fr-FR"/>
        </w:rPr>
      </w:pPr>
      <w:r>
        <w:rPr>
          <w:rFonts w:ascii="Times New Roman" w:hAnsi="Times New Roman"/>
          <w:i/>
          <w:sz w:val="24"/>
          <w:szCs w:val="24"/>
          <w:lang w:val="fr-FR"/>
        </w:rPr>
        <w:t>Rapport final</w:t>
      </w:r>
    </w:p>
    <w:p w14:paraId="2E8BF7E8" w14:textId="77777777" w:rsidR="00126DB1" w:rsidRDefault="008C2E57">
      <w:pPr>
        <w:spacing w:after="120"/>
      </w:pPr>
      <w:r>
        <w:t>Le Prestataire de Service présentera un rapport annuel au plus tard vingt jours calendaires après la fin du dernier paiement qu’il aurait effectué</w:t>
      </w:r>
    </w:p>
    <w:p w14:paraId="4AB24BA2" w14:textId="77777777" w:rsidR="00126DB1" w:rsidRDefault="008C2E57">
      <w:pPr>
        <w:spacing w:after="120"/>
      </w:pPr>
      <w:r>
        <w:t>Globalement, le rapport final récapitule les situations de paiement des travailleurs du TMDH pendant l’année écoulée, les problèmes rencontrés et les solutions prises, les leçons tirées et les recommandations. Un modèle-type de rapport sera remis à la signature de la convention.</w:t>
      </w:r>
    </w:p>
    <w:p w14:paraId="350C6337" w14:textId="77777777" w:rsidR="00126DB1" w:rsidRDefault="008C2E57">
      <w:pPr>
        <w:spacing w:after="120"/>
      </w:pPr>
      <w:r>
        <w:t>Les reliquats et absences qui n’ont pas été payés devront être remboursés par l’Agence payeur.</w:t>
      </w:r>
    </w:p>
    <w:p w14:paraId="3746F4E5" w14:textId="77777777" w:rsidR="00126DB1" w:rsidRDefault="00126DB1">
      <w:pPr>
        <w:shd w:val="clear" w:color="auto" w:fill="FFFFFF" w:themeFill="background1"/>
        <w:spacing w:after="120"/>
      </w:pPr>
    </w:p>
    <w:p w14:paraId="382DCCB5" w14:textId="77777777" w:rsidR="00126DB1" w:rsidRDefault="008C2E57">
      <w:pPr>
        <w:pStyle w:val="Paragraphedeliste"/>
        <w:shd w:val="clear" w:color="auto" w:fill="FFFFFF" w:themeFill="background1"/>
        <w:spacing w:after="120" w:line="240" w:lineRule="auto"/>
        <w:ind w:left="0" w:right="567"/>
        <w:jc w:val="both"/>
        <w:rPr>
          <w:rFonts w:ascii="Times New Roman" w:hAnsi="Times New Roman"/>
          <w:b/>
          <w:i/>
          <w:sz w:val="24"/>
          <w:szCs w:val="24"/>
          <w:lang w:val="fr-FR"/>
        </w:rPr>
      </w:pPr>
      <w:r>
        <w:rPr>
          <w:rFonts w:ascii="Times New Roman" w:hAnsi="Times New Roman"/>
          <w:i/>
          <w:sz w:val="24"/>
          <w:szCs w:val="24"/>
          <w:lang w:val="fr-FR"/>
        </w:rPr>
        <w:tab/>
      </w:r>
      <w:r>
        <w:rPr>
          <w:rFonts w:ascii="Times New Roman" w:hAnsi="Times New Roman"/>
          <w:b/>
          <w:i/>
          <w:sz w:val="24"/>
          <w:szCs w:val="24"/>
          <w:lang w:val="fr-FR"/>
        </w:rPr>
        <w:t>4.3 Supervision et Audit</w:t>
      </w:r>
    </w:p>
    <w:p w14:paraId="50131B96" w14:textId="77777777" w:rsidR="00126DB1" w:rsidRDefault="008C2E57">
      <w:pPr>
        <w:pStyle w:val="Paragraphedeliste"/>
        <w:numPr>
          <w:ilvl w:val="0"/>
          <w:numId w:val="6"/>
        </w:numPr>
        <w:shd w:val="clear" w:color="auto" w:fill="FFFFFF" w:themeFill="background1"/>
        <w:spacing w:after="120" w:line="240" w:lineRule="auto"/>
        <w:jc w:val="both"/>
        <w:rPr>
          <w:rFonts w:ascii="Times New Roman" w:hAnsi="Times New Roman"/>
          <w:i/>
          <w:sz w:val="24"/>
          <w:szCs w:val="24"/>
          <w:lang w:val="fr-FR"/>
        </w:rPr>
      </w:pPr>
      <w:r>
        <w:rPr>
          <w:rFonts w:ascii="Times New Roman" w:hAnsi="Times New Roman"/>
          <w:i/>
          <w:sz w:val="24"/>
          <w:szCs w:val="24"/>
          <w:lang w:val="fr-FR"/>
        </w:rPr>
        <w:t>Supervision</w:t>
      </w:r>
    </w:p>
    <w:p w14:paraId="08162F8C" w14:textId="77777777" w:rsidR="00126DB1" w:rsidRDefault="00126DB1">
      <w:pPr>
        <w:pStyle w:val="Paragraphedeliste"/>
        <w:shd w:val="clear" w:color="auto" w:fill="FFFFFF" w:themeFill="background1"/>
        <w:spacing w:after="120" w:line="240" w:lineRule="auto"/>
        <w:ind w:left="1800"/>
        <w:jc w:val="both"/>
        <w:rPr>
          <w:rFonts w:ascii="Times New Roman" w:hAnsi="Times New Roman"/>
          <w:i/>
          <w:sz w:val="24"/>
          <w:szCs w:val="24"/>
          <w:lang w:val="fr-FR"/>
        </w:rPr>
      </w:pPr>
    </w:p>
    <w:p w14:paraId="562AD078" w14:textId="77777777" w:rsidR="00126DB1" w:rsidRDefault="008C2E57">
      <w:pPr>
        <w:shd w:val="clear" w:color="auto" w:fill="FFFFFF" w:themeFill="background1"/>
        <w:spacing w:after="120"/>
      </w:pPr>
      <w:r>
        <w:t>En plus de la mission de préparation, les agents du FID effectueront des missions de prise en main du prestataire et de suivi des paiements aux bénéficiaires.</w:t>
      </w:r>
    </w:p>
    <w:p w14:paraId="438C77CA" w14:textId="77777777" w:rsidR="00126DB1" w:rsidRDefault="008C2E57">
      <w:pPr>
        <w:pStyle w:val="Paragraphedeliste"/>
        <w:numPr>
          <w:ilvl w:val="0"/>
          <w:numId w:val="6"/>
        </w:numPr>
        <w:shd w:val="clear" w:color="auto" w:fill="FFFFFF" w:themeFill="background1"/>
        <w:spacing w:after="120" w:line="240" w:lineRule="auto"/>
        <w:jc w:val="both"/>
        <w:rPr>
          <w:rFonts w:ascii="Times New Roman" w:hAnsi="Times New Roman"/>
          <w:i/>
          <w:sz w:val="24"/>
          <w:szCs w:val="24"/>
          <w:lang w:val="fr-FR"/>
        </w:rPr>
      </w:pPr>
      <w:r>
        <w:rPr>
          <w:rFonts w:ascii="Times New Roman" w:hAnsi="Times New Roman"/>
          <w:i/>
          <w:sz w:val="24"/>
          <w:szCs w:val="24"/>
          <w:lang w:val="fr-FR"/>
        </w:rPr>
        <w:lastRenderedPageBreak/>
        <w:t>Audit</w:t>
      </w:r>
    </w:p>
    <w:p w14:paraId="7EDC654F" w14:textId="77777777" w:rsidR="00126DB1" w:rsidRDefault="008C2E57">
      <w:pPr>
        <w:shd w:val="clear" w:color="auto" w:fill="FFFFFF" w:themeFill="background1"/>
        <w:spacing w:after="120"/>
      </w:pPr>
      <w:r>
        <w:t xml:space="preserve">Le Prestataire de Service donnera libre accès aux représentants du FID, de l’IDA, du Gouvernement ou à toute personne mandatée par ces derniers, pour consulter les documents concernant le paiement des bénéficiaires TMDH, en particulier aux fins d’audit pour les aspects suivants : comptables </w:t>
      </w:r>
      <w:proofErr w:type="gramStart"/>
      <w:r>
        <w:t>et  financiers</w:t>
      </w:r>
      <w:proofErr w:type="gramEnd"/>
      <w:r>
        <w:t>.</w:t>
      </w:r>
    </w:p>
    <w:p w14:paraId="68277B3D" w14:textId="77777777" w:rsidR="00126DB1" w:rsidRDefault="008C2E57">
      <w:pPr>
        <w:pStyle w:val="Paragraphedeliste"/>
        <w:numPr>
          <w:ilvl w:val="1"/>
          <w:numId w:val="10"/>
        </w:numPr>
        <w:spacing w:after="120" w:line="240" w:lineRule="auto"/>
        <w:jc w:val="both"/>
        <w:rPr>
          <w:rFonts w:ascii="Times New Roman" w:hAnsi="Times New Roman"/>
          <w:b/>
          <w:bCs/>
          <w:sz w:val="24"/>
          <w:szCs w:val="24"/>
          <w:lang w:val="fr-FR"/>
        </w:rPr>
      </w:pPr>
      <w:r>
        <w:rPr>
          <w:rFonts w:ascii="Times New Roman" w:hAnsi="Times New Roman"/>
          <w:b/>
          <w:bCs/>
          <w:sz w:val="24"/>
          <w:szCs w:val="24"/>
          <w:lang w:val="fr-FR"/>
        </w:rPr>
        <w:t xml:space="preserve">Evaluation </w:t>
      </w:r>
    </w:p>
    <w:p w14:paraId="1C8FEE29" w14:textId="77777777" w:rsidR="006E0A70" w:rsidRDefault="008C2E57" w:rsidP="006E0A70">
      <w:pPr>
        <w:spacing w:after="120"/>
      </w:pPr>
      <w:r>
        <w:t>Le Prestataire de Service sera évalué après 6 mois d’intervention calendaire du programme à partir de la date de signature du contrat pour pouvoir prétendre à la continuité de son contrat. L'évaluation se basera sur les notes de la qualité de sa prestation et le nombre de plaintes reçues</w:t>
      </w:r>
      <w:r w:rsidR="00376417">
        <w:t xml:space="preserve"> et fondées </w:t>
      </w:r>
      <w:r w:rsidR="006E0A70">
        <w:t xml:space="preserve">dont la responsabilité relève du prestataire. </w:t>
      </w:r>
    </w:p>
    <w:p w14:paraId="4DAFB098" w14:textId="5D5769F1" w:rsidR="00126DB1" w:rsidRDefault="00126DB1">
      <w:pPr>
        <w:spacing w:after="120"/>
      </w:pPr>
    </w:p>
    <w:p w14:paraId="6816A476" w14:textId="7D883650" w:rsidR="00126DB1" w:rsidRDefault="008C2E57">
      <w:pPr>
        <w:spacing w:after="120"/>
      </w:pPr>
      <w:r>
        <w:t xml:space="preserve">Les critères suivants sont considérés : respect du calendrier de paiement (date et horaire), qualité de gestion du transfert et organisation qualité des rapports, respect des délais de remise des rapports, </w:t>
      </w:r>
      <w:r w:rsidR="00376417">
        <w:t>qualité de l’accueil</w:t>
      </w:r>
      <w:r>
        <w:t xml:space="preserve"> des bénéficiaires, respect des clauses contractuelles,</w:t>
      </w:r>
    </w:p>
    <w:p w14:paraId="47B03CA0" w14:textId="77777777" w:rsidR="00126DB1" w:rsidRDefault="008C2E57">
      <w:pPr>
        <w:spacing w:after="120"/>
      </w:pPr>
      <w:bookmarkStart w:id="1" w:name="_Toc408574560"/>
      <w:r>
        <w:t>Les résultats de l’évaluation pourront conduire à la résiliation du contrat.</w:t>
      </w:r>
      <w:bookmarkEnd w:id="1"/>
    </w:p>
    <w:p w14:paraId="4F12A655" w14:textId="77777777" w:rsidR="00126DB1" w:rsidRDefault="008C2E57">
      <w:pPr>
        <w:spacing w:after="120"/>
      </w:pPr>
      <w:r>
        <w:t>La modalité, les critères d'évaluation et les conditions de la continuation du contrat sont détaillés ci-dessous :</w:t>
      </w:r>
    </w:p>
    <w:tbl>
      <w:tblPr>
        <w:tblW w:w="8505" w:type="dxa"/>
        <w:tblCellMar>
          <w:left w:w="70" w:type="dxa"/>
          <w:right w:w="70" w:type="dxa"/>
        </w:tblCellMar>
        <w:tblLook w:val="04A0" w:firstRow="1" w:lastRow="0" w:firstColumn="1" w:lastColumn="0" w:noHBand="0" w:noVBand="1"/>
      </w:tblPr>
      <w:tblGrid>
        <w:gridCol w:w="6120"/>
        <w:gridCol w:w="517"/>
        <w:gridCol w:w="517"/>
        <w:gridCol w:w="580"/>
        <w:gridCol w:w="771"/>
      </w:tblGrid>
      <w:tr w:rsidR="00126DB1" w14:paraId="02ACCACB" w14:textId="77777777">
        <w:trPr>
          <w:trHeight w:val="300"/>
        </w:trPr>
        <w:tc>
          <w:tcPr>
            <w:tcW w:w="7154" w:type="dxa"/>
            <w:gridSpan w:val="3"/>
            <w:shd w:val="clear" w:color="auto" w:fill="auto"/>
            <w:vAlign w:val="bottom"/>
          </w:tcPr>
          <w:p w14:paraId="1983ED6A" w14:textId="77777777" w:rsidR="00126DB1" w:rsidRDefault="008C2E57">
            <w:pPr>
              <w:rPr>
                <w:b/>
                <w:bCs/>
                <w:color w:val="000000"/>
              </w:rPr>
            </w:pPr>
            <w:r>
              <w:rPr>
                <w:b/>
                <w:bCs/>
                <w:color w:val="000000"/>
              </w:rPr>
              <w:t xml:space="preserve">NOTE </w:t>
            </w:r>
            <w:proofErr w:type="gramStart"/>
            <w:r>
              <w:rPr>
                <w:b/>
                <w:bCs/>
                <w:color w:val="000000"/>
              </w:rPr>
              <w:t>1:</w:t>
            </w:r>
            <w:proofErr w:type="gramEnd"/>
            <w:r>
              <w:rPr>
                <w:b/>
                <w:bCs/>
                <w:color w:val="000000"/>
              </w:rPr>
              <w:t xml:space="preserve"> SUR LA QUALITE DES PRESTATIONS</w:t>
            </w:r>
          </w:p>
        </w:tc>
        <w:tc>
          <w:tcPr>
            <w:tcW w:w="580" w:type="dxa"/>
            <w:shd w:val="clear" w:color="auto" w:fill="auto"/>
            <w:vAlign w:val="bottom"/>
          </w:tcPr>
          <w:p w14:paraId="7537A983" w14:textId="77777777" w:rsidR="00126DB1" w:rsidRDefault="00126DB1">
            <w:pPr>
              <w:rPr>
                <w:b/>
                <w:bCs/>
                <w:color w:val="000000"/>
              </w:rPr>
            </w:pPr>
          </w:p>
        </w:tc>
        <w:tc>
          <w:tcPr>
            <w:tcW w:w="771" w:type="dxa"/>
            <w:shd w:val="clear" w:color="auto" w:fill="auto"/>
            <w:vAlign w:val="bottom"/>
          </w:tcPr>
          <w:p w14:paraId="736EF4A8" w14:textId="77777777" w:rsidR="00126DB1" w:rsidRDefault="00126DB1"/>
        </w:tc>
      </w:tr>
      <w:tr w:rsidR="00126DB1" w14:paraId="09D0B374" w14:textId="77777777">
        <w:trPr>
          <w:trHeight w:val="300"/>
        </w:trPr>
        <w:tc>
          <w:tcPr>
            <w:tcW w:w="7154" w:type="dxa"/>
            <w:gridSpan w:val="3"/>
            <w:shd w:val="clear" w:color="auto" w:fill="auto"/>
            <w:vAlign w:val="bottom"/>
          </w:tcPr>
          <w:p w14:paraId="39EC87AB" w14:textId="77777777" w:rsidR="00126DB1" w:rsidRDefault="008C2E57">
            <w:pPr>
              <w:rPr>
                <w:b/>
                <w:bCs/>
                <w:color w:val="000000"/>
              </w:rPr>
            </w:pPr>
            <w:r>
              <w:rPr>
                <w:b/>
                <w:bCs/>
                <w:color w:val="000000"/>
              </w:rPr>
              <w:t>A- RESPECT DU CALENDRIER DE PAIEMENT (Date et horaire)</w:t>
            </w:r>
          </w:p>
        </w:tc>
        <w:tc>
          <w:tcPr>
            <w:tcW w:w="580" w:type="dxa"/>
            <w:shd w:val="clear" w:color="auto" w:fill="auto"/>
            <w:vAlign w:val="bottom"/>
          </w:tcPr>
          <w:p w14:paraId="421D6E42" w14:textId="77777777" w:rsidR="00126DB1" w:rsidRDefault="00126DB1">
            <w:pPr>
              <w:rPr>
                <w:b/>
                <w:bCs/>
                <w:color w:val="000000"/>
              </w:rPr>
            </w:pPr>
          </w:p>
        </w:tc>
        <w:tc>
          <w:tcPr>
            <w:tcW w:w="771" w:type="dxa"/>
            <w:shd w:val="clear" w:color="auto" w:fill="auto"/>
            <w:vAlign w:val="bottom"/>
          </w:tcPr>
          <w:p w14:paraId="7E1BC139" w14:textId="77777777" w:rsidR="00126DB1" w:rsidRDefault="00126DB1"/>
        </w:tc>
      </w:tr>
      <w:tr w:rsidR="00126DB1" w14:paraId="0C599AAD" w14:textId="77777777">
        <w:trPr>
          <w:trHeight w:val="300"/>
        </w:trPr>
        <w:tc>
          <w:tcPr>
            <w:tcW w:w="6120" w:type="dxa"/>
            <w:shd w:val="clear" w:color="auto" w:fill="auto"/>
            <w:vAlign w:val="bottom"/>
          </w:tcPr>
          <w:p w14:paraId="2681137A" w14:textId="77777777" w:rsidR="00126DB1" w:rsidRDefault="00126DB1"/>
        </w:tc>
        <w:tc>
          <w:tcPr>
            <w:tcW w:w="517" w:type="dxa"/>
            <w:shd w:val="clear" w:color="auto" w:fill="auto"/>
            <w:vAlign w:val="bottom"/>
          </w:tcPr>
          <w:p w14:paraId="40D4FAD9" w14:textId="77777777" w:rsidR="00126DB1" w:rsidRDefault="00126DB1"/>
        </w:tc>
        <w:tc>
          <w:tcPr>
            <w:tcW w:w="517" w:type="dxa"/>
            <w:shd w:val="clear" w:color="auto" w:fill="auto"/>
            <w:vAlign w:val="bottom"/>
          </w:tcPr>
          <w:p w14:paraId="45A83445" w14:textId="77777777" w:rsidR="00126DB1" w:rsidRDefault="00126DB1"/>
        </w:tc>
        <w:tc>
          <w:tcPr>
            <w:tcW w:w="135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0EA01F2" w14:textId="77777777" w:rsidR="00126DB1" w:rsidRDefault="008C2E57">
            <w:pPr>
              <w:rPr>
                <w:b/>
                <w:bCs/>
                <w:color w:val="000000"/>
              </w:rPr>
            </w:pPr>
            <w:r>
              <w:rPr>
                <w:b/>
                <w:bCs/>
                <w:color w:val="000000"/>
              </w:rPr>
              <w:t>NOTE FID</w:t>
            </w:r>
          </w:p>
        </w:tc>
      </w:tr>
      <w:tr w:rsidR="00126DB1" w14:paraId="0E0B909C" w14:textId="77777777">
        <w:trPr>
          <w:trHeight w:val="300"/>
        </w:trPr>
        <w:tc>
          <w:tcPr>
            <w:tcW w:w="7154" w:type="dxa"/>
            <w:gridSpan w:val="3"/>
            <w:tcBorders>
              <w:top w:val="single" w:sz="4" w:space="0" w:color="000000"/>
              <w:left w:val="single" w:sz="4" w:space="0" w:color="000000"/>
              <w:bottom w:val="single" w:sz="4" w:space="0" w:color="000000"/>
            </w:tcBorders>
            <w:shd w:val="clear" w:color="auto" w:fill="auto"/>
            <w:vAlign w:val="bottom"/>
          </w:tcPr>
          <w:p w14:paraId="648F98B1" w14:textId="77777777" w:rsidR="00126DB1" w:rsidRDefault="008C2E57">
            <w:pPr>
              <w:rPr>
                <w:color w:val="000000"/>
              </w:rPr>
            </w:pPr>
            <w:r>
              <w:rPr>
                <w:color w:val="000000"/>
              </w:rPr>
              <w:t>Respect horaire et jour de paiement</w:t>
            </w:r>
          </w:p>
        </w:tc>
        <w:tc>
          <w:tcPr>
            <w:tcW w:w="580" w:type="dxa"/>
            <w:tcBorders>
              <w:left w:val="single" w:sz="4" w:space="0" w:color="000000"/>
              <w:bottom w:val="single" w:sz="4" w:space="0" w:color="000000"/>
            </w:tcBorders>
            <w:shd w:val="clear" w:color="auto" w:fill="auto"/>
            <w:vAlign w:val="center"/>
          </w:tcPr>
          <w:p w14:paraId="73E1A0D4" w14:textId="77777777" w:rsidR="00126DB1" w:rsidRDefault="008C2E57">
            <w:pPr>
              <w:rPr>
                <w:color w:val="000000"/>
              </w:rPr>
            </w:pPr>
            <w:r>
              <w:rPr>
                <w:color w:val="000000"/>
              </w:rPr>
              <w:t> </w:t>
            </w:r>
          </w:p>
        </w:tc>
        <w:tc>
          <w:tcPr>
            <w:tcW w:w="771" w:type="dxa"/>
            <w:tcBorders>
              <w:bottom w:val="single" w:sz="4" w:space="0" w:color="000000"/>
              <w:right w:val="single" w:sz="4" w:space="0" w:color="000000"/>
            </w:tcBorders>
            <w:shd w:val="clear" w:color="auto" w:fill="auto"/>
            <w:vAlign w:val="bottom"/>
          </w:tcPr>
          <w:p w14:paraId="31E3DFC0" w14:textId="77777777" w:rsidR="00126DB1" w:rsidRDefault="008C2E57">
            <w:pPr>
              <w:rPr>
                <w:color w:val="000000"/>
              </w:rPr>
            </w:pPr>
            <w:r>
              <w:rPr>
                <w:color w:val="000000"/>
              </w:rPr>
              <w:t>/4</w:t>
            </w:r>
          </w:p>
        </w:tc>
      </w:tr>
      <w:tr w:rsidR="00126DB1" w14:paraId="6B5BC41F" w14:textId="77777777">
        <w:trPr>
          <w:trHeight w:val="300"/>
        </w:trPr>
        <w:tc>
          <w:tcPr>
            <w:tcW w:w="6120" w:type="dxa"/>
            <w:shd w:val="clear" w:color="auto" w:fill="auto"/>
            <w:vAlign w:val="bottom"/>
          </w:tcPr>
          <w:p w14:paraId="6CB76B90" w14:textId="77777777" w:rsidR="00126DB1" w:rsidRDefault="00126DB1">
            <w:pPr>
              <w:rPr>
                <w:color w:val="000000"/>
              </w:rPr>
            </w:pPr>
          </w:p>
        </w:tc>
        <w:tc>
          <w:tcPr>
            <w:tcW w:w="517" w:type="dxa"/>
            <w:shd w:val="clear" w:color="auto" w:fill="auto"/>
            <w:vAlign w:val="bottom"/>
          </w:tcPr>
          <w:p w14:paraId="53A66AAC" w14:textId="77777777" w:rsidR="00126DB1" w:rsidRDefault="00126DB1"/>
        </w:tc>
        <w:tc>
          <w:tcPr>
            <w:tcW w:w="517" w:type="dxa"/>
            <w:shd w:val="clear" w:color="auto" w:fill="auto"/>
            <w:vAlign w:val="bottom"/>
          </w:tcPr>
          <w:p w14:paraId="32572FF6" w14:textId="77777777" w:rsidR="00126DB1" w:rsidRDefault="00126DB1"/>
        </w:tc>
        <w:tc>
          <w:tcPr>
            <w:tcW w:w="580" w:type="dxa"/>
            <w:tcBorders>
              <w:left w:val="single" w:sz="4" w:space="0" w:color="000000"/>
              <w:bottom w:val="single" w:sz="4" w:space="0" w:color="000000"/>
            </w:tcBorders>
            <w:shd w:val="clear" w:color="auto" w:fill="auto"/>
            <w:vAlign w:val="center"/>
          </w:tcPr>
          <w:p w14:paraId="55D7C449" w14:textId="77777777" w:rsidR="00126DB1" w:rsidRDefault="008C2E57">
            <w:pPr>
              <w:rPr>
                <w:color w:val="000000"/>
              </w:rPr>
            </w:pPr>
            <w:r>
              <w:rPr>
                <w:color w:val="000000"/>
              </w:rPr>
              <w:t>0</w:t>
            </w:r>
          </w:p>
        </w:tc>
        <w:tc>
          <w:tcPr>
            <w:tcW w:w="771" w:type="dxa"/>
            <w:tcBorders>
              <w:bottom w:val="single" w:sz="4" w:space="0" w:color="000000"/>
              <w:right w:val="single" w:sz="4" w:space="0" w:color="000000"/>
            </w:tcBorders>
            <w:shd w:val="clear" w:color="auto" w:fill="auto"/>
            <w:vAlign w:val="bottom"/>
          </w:tcPr>
          <w:p w14:paraId="51920F24" w14:textId="77777777" w:rsidR="00126DB1" w:rsidRDefault="008C2E57">
            <w:pPr>
              <w:rPr>
                <w:b/>
                <w:bCs/>
                <w:color w:val="000000"/>
              </w:rPr>
            </w:pPr>
            <w:r>
              <w:rPr>
                <w:b/>
                <w:bCs/>
                <w:color w:val="000000"/>
              </w:rPr>
              <w:t>/4</w:t>
            </w:r>
          </w:p>
        </w:tc>
      </w:tr>
      <w:tr w:rsidR="00126DB1" w14:paraId="555940E4" w14:textId="77777777">
        <w:trPr>
          <w:trHeight w:val="300"/>
        </w:trPr>
        <w:tc>
          <w:tcPr>
            <w:tcW w:w="8505" w:type="dxa"/>
            <w:gridSpan w:val="5"/>
            <w:shd w:val="clear" w:color="auto" w:fill="auto"/>
            <w:vAlign w:val="bottom"/>
          </w:tcPr>
          <w:p w14:paraId="3A7FD69E" w14:textId="77777777" w:rsidR="00126DB1" w:rsidRDefault="008C2E57">
            <w:pPr>
              <w:rPr>
                <w:b/>
                <w:bCs/>
                <w:color w:val="000000"/>
              </w:rPr>
            </w:pPr>
            <w:r>
              <w:rPr>
                <w:b/>
                <w:bCs/>
                <w:color w:val="000000"/>
              </w:rPr>
              <w:t>B- QUALITE DE REALISATION DU TRANSFERT (Organisation, relation avec les bénéficiaires)</w:t>
            </w:r>
          </w:p>
        </w:tc>
      </w:tr>
      <w:tr w:rsidR="00126DB1" w14:paraId="1524B1FB" w14:textId="77777777">
        <w:trPr>
          <w:trHeight w:val="300"/>
        </w:trPr>
        <w:tc>
          <w:tcPr>
            <w:tcW w:w="6120" w:type="dxa"/>
            <w:shd w:val="clear" w:color="auto" w:fill="auto"/>
            <w:vAlign w:val="bottom"/>
          </w:tcPr>
          <w:p w14:paraId="5C1B4E55" w14:textId="77777777" w:rsidR="00126DB1" w:rsidRDefault="00126DB1"/>
        </w:tc>
        <w:tc>
          <w:tcPr>
            <w:tcW w:w="517" w:type="dxa"/>
            <w:shd w:val="clear" w:color="auto" w:fill="auto"/>
            <w:vAlign w:val="bottom"/>
          </w:tcPr>
          <w:p w14:paraId="1E98F51D" w14:textId="77777777" w:rsidR="00126DB1" w:rsidRDefault="00126DB1"/>
        </w:tc>
        <w:tc>
          <w:tcPr>
            <w:tcW w:w="517" w:type="dxa"/>
            <w:shd w:val="clear" w:color="auto" w:fill="auto"/>
            <w:vAlign w:val="bottom"/>
          </w:tcPr>
          <w:p w14:paraId="6D001207" w14:textId="77777777" w:rsidR="00126DB1" w:rsidRDefault="00126DB1"/>
        </w:tc>
        <w:tc>
          <w:tcPr>
            <w:tcW w:w="13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C09519" w14:textId="77777777" w:rsidR="00126DB1" w:rsidRDefault="008C2E57">
            <w:pPr>
              <w:rPr>
                <w:b/>
                <w:bCs/>
                <w:color w:val="000000"/>
              </w:rPr>
            </w:pPr>
            <w:r>
              <w:rPr>
                <w:b/>
                <w:bCs/>
                <w:color w:val="000000"/>
              </w:rPr>
              <w:t>NOTE FID</w:t>
            </w:r>
          </w:p>
        </w:tc>
      </w:tr>
      <w:tr w:rsidR="00126DB1" w14:paraId="611007B7" w14:textId="77777777">
        <w:trPr>
          <w:trHeight w:val="300"/>
        </w:trPr>
        <w:tc>
          <w:tcPr>
            <w:tcW w:w="7154" w:type="dxa"/>
            <w:gridSpan w:val="3"/>
            <w:shd w:val="clear" w:color="auto" w:fill="auto"/>
            <w:vAlign w:val="bottom"/>
          </w:tcPr>
          <w:p w14:paraId="3BCCB21E" w14:textId="77777777" w:rsidR="00126DB1" w:rsidRDefault="008C2E57">
            <w:pPr>
              <w:rPr>
                <w:color w:val="000000"/>
              </w:rPr>
            </w:pPr>
            <w:r>
              <w:rPr>
                <w:color w:val="000000"/>
              </w:rPr>
              <w:t>Organisation et préparation du paiement</w:t>
            </w:r>
          </w:p>
        </w:tc>
        <w:tc>
          <w:tcPr>
            <w:tcW w:w="135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D9EAC3" w14:textId="77777777" w:rsidR="00126DB1" w:rsidRDefault="00126DB1">
            <w:pPr>
              <w:rPr>
                <w:b/>
                <w:bCs/>
                <w:color w:val="000000"/>
              </w:rPr>
            </w:pPr>
          </w:p>
        </w:tc>
      </w:tr>
      <w:tr w:rsidR="00126DB1" w14:paraId="18D5A7EB" w14:textId="77777777">
        <w:trPr>
          <w:trHeight w:val="750"/>
        </w:trPr>
        <w:tc>
          <w:tcPr>
            <w:tcW w:w="71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F04DF42" w14:textId="77777777" w:rsidR="00126DB1" w:rsidRDefault="008C2E57">
            <w:pPr>
              <w:rPr>
                <w:color w:val="000000"/>
              </w:rPr>
            </w:pPr>
            <w:r>
              <w:rPr>
                <w:color w:val="000000"/>
              </w:rPr>
              <w:t>- Durée d'attente des bénéficiaires (retard de paiement et vitesse de traitement/bénéficiaire)</w:t>
            </w:r>
          </w:p>
        </w:tc>
        <w:tc>
          <w:tcPr>
            <w:tcW w:w="580" w:type="dxa"/>
            <w:tcBorders>
              <w:bottom w:val="single" w:sz="4" w:space="0" w:color="000000"/>
            </w:tcBorders>
            <w:shd w:val="clear" w:color="auto" w:fill="auto"/>
            <w:vAlign w:val="center"/>
          </w:tcPr>
          <w:p w14:paraId="38F5B068" w14:textId="77777777" w:rsidR="00126DB1" w:rsidRDefault="008C2E57">
            <w:pPr>
              <w:rPr>
                <w:color w:val="000000"/>
              </w:rPr>
            </w:pPr>
            <w:r>
              <w:rPr>
                <w:color w:val="000000"/>
              </w:rPr>
              <w:t> </w:t>
            </w:r>
          </w:p>
        </w:tc>
        <w:tc>
          <w:tcPr>
            <w:tcW w:w="771" w:type="dxa"/>
            <w:tcBorders>
              <w:bottom w:val="single" w:sz="4" w:space="0" w:color="000000"/>
              <w:right w:val="single" w:sz="4" w:space="0" w:color="000000"/>
            </w:tcBorders>
            <w:shd w:val="clear" w:color="auto" w:fill="auto"/>
            <w:vAlign w:val="center"/>
          </w:tcPr>
          <w:p w14:paraId="447D5FEC" w14:textId="77777777" w:rsidR="00126DB1" w:rsidRDefault="008C2E57">
            <w:pPr>
              <w:rPr>
                <w:color w:val="000000"/>
              </w:rPr>
            </w:pPr>
            <w:r>
              <w:rPr>
                <w:color w:val="000000"/>
              </w:rPr>
              <w:t>/2</w:t>
            </w:r>
          </w:p>
        </w:tc>
      </w:tr>
      <w:tr w:rsidR="00126DB1" w14:paraId="56514AE7" w14:textId="77777777">
        <w:trPr>
          <w:trHeight w:val="675"/>
        </w:trPr>
        <w:tc>
          <w:tcPr>
            <w:tcW w:w="71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97AB46" w14:textId="77777777" w:rsidR="00126DB1" w:rsidRDefault="008C2E57">
            <w:pPr>
              <w:rPr>
                <w:color w:val="000000"/>
              </w:rPr>
            </w:pPr>
            <w:r>
              <w:rPr>
                <w:color w:val="000000"/>
              </w:rPr>
              <w:t xml:space="preserve">- Adéquation des matériels logistiques (distributeur, état de paiement, salle, poste téléphonique, encreur, cachet, </w:t>
            </w:r>
            <w:proofErr w:type="gramStart"/>
            <w:r>
              <w:rPr>
                <w:color w:val="000000"/>
              </w:rPr>
              <w:t>stylo,…</w:t>
            </w:r>
            <w:proofErr w:type="gramEnd"/>
            <w:r>
              <w:rPr>
                <w:color w:val="000000"/>
              </w:rPr>
              <w:t>)</w:t>
            </w:r>
          </w:p>
        </w:tc>
        <w:tc>
          <w:tcPr>
            <w:tcW w:w="580" w:type="dxa"/>
            <w:tcBorders>
              <w:bottom w:val="single" w:sz="4" w:space="0" w:color="000000"/>
            </w:tcBorders>
            <w:shd w:val="clear" w:color="auto" w:fill="auto"/>
            <w:vAlign w:val="center"/>
          </w:tcPr>
          <w:p w14:paraId="70929284" w14:textId="77777777" w:rsidR="00126DB1" w:rsidRDefault="008C2E57">
            <w:pPr>
              <w:rPr>
                <w:color w:val="000000"/>
              </w:rPr>
            </w:pPr>
            <w:r>
              <w:rPr>
                <w:color w:val="000000"/>
              </w:rPr>
              <w:t> </w:t>
            </w:r>
          </w:p>
        </w:tc>
        <w:tc>
          <w:tcPr>
            <w:tcW w:w="771" w:type="dxa"/>
            <w:tcBorders>
              <w:bottom w:val="single" w:sz="4" w:space="0" w:color="000000"/>
              <w:right w:val="single" w:sz="4" w:space="0" w:color="000000"/>
            </w:tcBorders>
            <w:shd w:val="clear" w:color="auto" w:fill="auto"/>
            <w:vAlign w:val="center"/>
          </w:tcPr>
          <w:p w14:paraId="420BB5FC" w14:textId="77777777" w:rsidR="00126DB1" w:rsidRDefault="008C2E57">
            <w:pPr>
              <w:rPr>
                <w:color w:val="000000"/>
              </w:rPr>
            </w:pPr>
            <w:r>
              <w:rPr>
                <w:color w:val="000000"/>
              </w:rPr>
              <w:t>/2</w:t>
            </w:r>
          </w:p>
        </w:tc>
      </w:tr>
      <w:tr w:rsidR="00126DB1" w14:paraId="22D187C2" w14:textId="77777777">
        <w:trPr>
          <w:trHeight w:val="300"/>
        </w:trPr>
        <w:tc>
          <w:tcPr>
            <w:tcW w:w="6120" w:type="dxa"/>
            <w:tcBorders>
              <w:left w:val="single" w:sz="4" w:space="0" w:color="000000"/>
              <w:bottom w:val="single" w:sz="4" w:space="0" w:color="000000"/>
              <w:right w:val="single" w:sz="4" w:space="0" w:color="000000"/>
            </w:tcBorders>
            <w:shd w:val="clear" w:color="auto" w:fill="auto"/>
            <w:vAlign w:val="center"/>
          </w:tcPr>
          <w:p w14:paraId="07B36F44" w14:textId="77777777" w:rsidR="00126DB1" w:rsidRDefault="008C2E57">
            <w:pPr>
              <w:rPr>
                <w:color w:val="000000"/>
              </w:rPr>
            </w:pPr>
            <w:r>
              <w:rPr>
                <w:color w:val="000000"/>
              </w:rPr>
              <w:t xml:space="preserve">- Qualité de </w:t>
            </w:r>
            <w:proofErr w:type="gramStart"/>
            <w:r>
              <w:rPr>
                <w:color w:val="000000"/>
              </w:rPr>
              <w:t>traitement  des</w:t>
            </w:r>
            <w:proofErr w:type="gramEnd"/>
            <w:r>
              <w:rPr>
                <w:color w:val="000000"/>
              </w:rPr>
              <w:t xml:space="preserve"> bénéficiaires par les caissiers</w:t>
            </w:r>
          </w:p>
        </w:tc>
        <w:tc>
          <w:tcPr>
            <w:tcW w:w="517" w:type="dxa"/>
            <w:tcBorders>
              <w:bottom w:val="single" w:sz="4" w:space="0" w:color="000000"/>
              <w:right w:val="single" w:sz="4" w:space="0" w:color="000000"/>
            </w:tcBorders>
            <w:shd w:val="clear" w:color="auto" w:fill="auto"/>
            <w:vAlign w:val="bottom"/>
          </w:tcPr>
          <w:p w14:paraId="09C03409" w14:textId="77777777" w:rsidR="00126DB1" w:rsidRDefault="008C2E57">
            <w:pPr>
              <w:rPr>
                <w:color w:val="000000"/>
              </w:rPr>
            </w:pPr>
            <w:r>
              <w:rPr>
                <w:color w:val="000000"/>
              </w:rPr>
              <w:t> </w:t>
            </w:r>
          </w:p>
        </w:tc>
        <w:tc>
          <w:tcPr>
            <w:tcW w:w="517" w:type="dxa"/>
            <w:tcBorders>
              <w:bottom w:val="single" w:sz="4" w:space="0" w:color="000000"/>
              <w:right w:val="single" w:sz="4" w:space="0" w:color="000000"/>
            </w:tcBorders>
            <w:shd w:val="clear" w:color="auto" w:fill="auto"/>
            <w:vAlign w:val="bottom"/>
          </w:tcPr>
          <w:p w14:paraId="2D98F6D1" w14:textId="77777777" w:rsidR="00126DB1" w:rsidRDefault="008C2E57">
            <w:pPr>
              <w:rPr>
                <w:color w:val="000000"/>
              </w:rPr>
            </w:pPr>
            <w:r>
              <w:rPr>
                <w:color w:val="000000"/>
              </w:rPr>
              <w:t> </w:t>
            </w:r>
          </w:p>
        </w:tc>
        <w:tc>
          <w:tcPr>
            <w:tcW w:w="580" w:type="dxa"/>
            <w:tcBorders>
              <w:bottom w:val="single" w:sz="4" w:space="0" w:color="000000"/>
            </w:tcBorders>
            <w:shd w:val="clear" w:color="auto" w:fill="auto"/>
            <w:vAlign w:val="center"/>
          </w:tcPr>
          <w:p w14:paraId="60417695" w14:textId="77777777" w:rsidR="00126DB1" w:rsidRDefault="008C2E57">
            <w:pPr>
              <w:rPr>
                <w:color w:val="000000"/>
              </w:rPr>
            </w:pPr>
            <w:r>
              <w:rPr>
                <w:color w:val="000000"/>
              </w:rPr>
              <w:t> </w:t>
            </w:r>
          </w:p>
        </w:tc>
        <w:tc>
          <w:tcPr>
            <w:tcW w:w="771" w:type="dxa"/>
            <w:tcBorders>
              <w:bottom w:val="single" w:sz="4" w:space="0" w:color="000000"/>
              <w:right w:val="single" w:sz="4" w:space="0" w:color="000000"/>
            </w:tcBorders>
            <w:shd w:val="clear" w:color="auto" w:fill="auto"/>
            <w:vAlign w:val="center"/>
          </w:tcPr>
          <w:p w14:paraId="4A6F16FB" w14:textId="77777777" w:rsidR="00126DB1" w:rsidRDefault="008C2E57">
            <w:pPr>
              <w:rPr>
                <w:color w:val="000000"/>
              </w:rPr>
            </w:pPr>
            <w:r>
              <w:rPr>
                <w:color w:val="000000"/>
              </w:rPr>
              <w:t>/2</w:t>
            </w:r>
          </w:p>
        </w:tc>
      </w:tr>
      <w:tr w:rsidR="00126DB1" w14:paraId="003C9500" w14:textId="77777777">
        <w:trPr>
          <w:trHeight w:val="300"/>
        </w:trPr>
        <w:tc>
          <w:tcPr>
            <w:tcW w:w="7154" w:type="dxa"/>
            <w:gridSpan w:val="3"/>
            <w:tcBorders>
              <w:top w:val="single" w:sz="4" w:space="0" w:color="000000"/>
              <w:left w:val="single" w:sz="4" w:space="0" w:color="000000"/>
              <w:bottom w:val="single" w:sz="4" w:space="0" w:color="000000"/>
            </w:tcBorders>
            <w:shd w:val="clear" w:color="auto" w:fill="auto"/>
            <w:vAlign w:val="bottom"/>
          </w:tcPr>
          <w:p w14:paraId="5B51D885" w14:textId="77777777" w:rsidR="00126DB1" w:rsidRDefault="008C2E57">
            <w:pPr>
              <w:rPr>
                <w:color w:val="000000"/>
              </w:rPr>
            </w:pPr>
            <w:r>
              <w:rPr>
                <w:color w:val="000000"/>
              </w:rPr>
              <w:t xml:space="preserve">-Respect du système prévu dans le contrat sur site </w:t>
            </w:r>
          </w:p>
        </w:tc>
        <w:tc>
          <w:tcPr>
            <w:tcW w:w="580" w:type="dxa"/>
            <w:tcBorders>
              <w:left w:val="single" w:sz="4" w:space="0" w:color="000000"/>
              <w:bottom w:val="single" w:sz="4" w:space="0" w:color="000000"/>
            </w:tcBorders>
            <w:shd w:val="clear" w:color="auto" w:fill="auto"/>
            <w:vAlign w:val="center"/>
          </w:tcPr>
          <w:p w14:paraId="6DEC4540" w14:textId="77777777" w:rsidR="00126DB1" w:rsidRDefault="008C2E57">
            <w:pPr>
              <w:rPr>
                <w:color w:val="000000"/>
              </w:rPr>
            </w:pPr>
            <w:r>
              <w:rPr>
                <w:color w:val="000000"/>
              </w:rPr>
              <w:t> </w:t>
            </w:r>
          </w:p>
        </w:tc>
        <w:tc>
          <w:tcPr>
            <w:tcW w:w="771" w:type="dxa"/>
            <w:tcBorders>
              <w:bottom w:val="single" w:sz="4" w:space="0" w:color="000000"/>
              <w:right w:val="single" w:sz="4" w:space="0" w:color="000000"/>
            </w:tcBorders>
            <w:shd w:val="clear" w:color="auto" w:fill="auto"/>
            <w:vAlign w:val="center"/>
          </w:tcPr>
          <w:p w14:paraId="1C298769" w14:textId="77777777" w:rsidR="00126DB1" w:rsidRDefault="008C2E57">
            <w:pPr>
              <w:rPr>
                <w:color w:val="000000"/>
              </w:rPr>
            </w:pPr>
            <w:r>
              <w:rPr>
                <w:color w:val="000000"/>
              </w:rPr>
              <w:t>/2</w:t>
            </w:r>
          </w:p>
        </w:tc>
      </w:tr>
      <w:tr w:rsidR="00126DB1" w14:paraId="73BB8F12" w14:textId="77777777">
        <w:trPr>
          <w:trHeight w:val="300"/>
        </w:trPr>
        <w:tc>
          <w:tcPr>
            <w:tcW w:w="6120" w:type="dxa"/>
            <w:shd w:val="clear" w:color="auto" w:fill="auto"/>
            <w:vAlign w:val="bottom"/>
          </w:tcPr>
          <w:p w14:paraId="2F2CC9EA" w14:textId="77777777" w:rsidR="00126DB1" w:rsidRDefault="00126DB1">
            <w:pPr>
              <w:rPr>
                <w:color w:val="000000"/>
              </w:rPr>
            </w:pPr>
          </w:p>
        </w:tc>
        <w:tc>
          <w:tcPr>
            <w:tcW w:w="517" w:type="dxa"/>
            <w:shd w:val="clear" w:color="auto" w:fill="auto"/>
            <w:vAlign w:val="bottom"/>
          </w:tcPr>
          <w:p w14:paraId="644AD03A" w14:textId="77777777" w:rsidR="00126DB1" w:rsidRDefault="00126DB1"/>
        </w:tc>
        <w:tc>
          <w:tcPr>
            <w:tcW w:w="517" w:type="dxa"/>
            <w:shd w:val="clear" w:color="auto" w:fill="auto"/>
            <w:vAlign w:val="bottom"/>
          </w:tcPr>
          <w:p w14:paraId="25232E78" w14:textId="77777777" w:rsidR="00126DB1" w:rsidRDefault="00126DB1"/>
        </w:tc>
        <w:tc>
          <w:tcPr>
            <w:tcW w:w="580" w:type="dxa"/>
            <w:tcBorders>
              <w:left w:val="single" w:sz="4" w:space="0" w:color="000000"/>
              <w:bottom w:val="single" w:sz="4" w:space="0" w:color="000000"/>
            </w:tcBorders>
            <w:shd w:val="clear" w:color="auto" w:fill="auto"/>
            <w:vAlign w:val="center"/>
          </w:tcPr>
          <w:p w14:paraId="51BA6C90" w14:textId="77777777" w:rsidR="00126DB1" w:rsidRDefault="008C2E57">
            <w:pPr>
              <w:rPr>
                <w:color w:val="000000"/>
              </w:rPr>
            </w:pPr>
            <w:r>
              <w:rPr>
                <w:color w:val="000000"/>
              </w:rPr>
              <w:t>0</w:t>
            </w:r>
          </w:p>
        </w:tc>
        <w:tc>
          <w:tcPr>
            <w:tcW w:w="771" w:type="dxa"/>
            <w:tcBorders>
              <w:bottom w:val="single" w:sz="4" w:space="0" w:color="000000"/>
              <w:right w:val="single" w:sz="4" w:space="0" w:color="000000"/>
            </w:tcBorders>
            <w:shd w:val="clear" w:color="auto" w:fill="auto"/>
            <w:vAlign w:val="center"/>
          </w:tcPr>
          <w:p w14:paraId="77E3A846" w14:textId="77777777" w:rsidR="00126DB1" w:rsidRDefault="008C2E57">
            <w:pPr>
              <w:rPr>
                <w:b/>
                <w:bCs/>
                <w:color w:val="000000"/>
              </w:rPr>
            </w:pPr>
            <w:r>
              <w:rPr>
                <w:b/>
                <w:bCs/>
                <w:color w:val="000000"/>
              </w:rPr>
              <w:t>/8</w:t>
            </w:r>
          </w:p>
        </w:tc>
      </w:tr>
      <w:tr w:rsidR="00126DB1" w14:paraId="79303069" w14:textId="77777777">
        <w:trPr>
          <w:trHeight w:val="300"/>
        </w:trPr>
        <w:tc>
          <w:tcPr>
            <w:tcW w:w="7154" w:type="dxa"/>
            <w:gridSpan w:val="3"/>
            <w:shd w:val="clear" w:color="auto" w:fill="auto"/>
            <w:vAlign w:val="bottom"/>
          </w:tcPr>
          <w:p w14:paraId="7D6C994D" w14:textId="77777777" w:rsidR="00126DB1" w:rsidRDefault="008C2E57">
            <w:pPr>
              <w:rPr>
                <w:b/>
                <w:bCs/>
                <w:color w:val="000000"/>
              </w:rPr>
            </w:pPr>
            <w:r>
              <w:rPr>
                <w:b/>
                <w:bCs/>
                <w:color w:val="000000"/>
              </w:rPr>
              <w:t>C- QUALITE DES RAPPORTS ET RESPECT DES CLAUSES CONTRACTUELLES</w:t>
            </w:r>
          </w:p>
        </w:tc>
        <w:tc>
          <w:tcPr>
            <w:tcW w:w="580" w:type="dxa"/>
            <w:shd w:val="clear" w:color="auto" w:fill="auto"/>
            <w:vAlign w:val="bottom"/>
          </w:tcPr>
          <w:p w14:paraId="4A42113D" w14:textId="77777777" w:rsidR="00126DB1" w:rsidRDefault="00126DB1">
            <w:pPr>
              <w:rPr>
                <w:b/>
                <w:bCs/>
                <w:color w:val="000000"/>
              </w:rPr>
            </w:pPr>
          </w:p>
        </w:tc>
        <w:tc>
          <w:tcPr>
            <w:tcW w:w="771" w:type="dxa"/>
            <w:shd w:val="clear" w:color="auto" w:fill="auto"/>
            <w:vAlign w:val="bottom"/>
          </w:tcPr>
          <w:p w14:paraId="639C2B26" w14:textId="77777777" w:rsidR="00126DB1" w:rsidRDefault="00126DB1"/>
        </w:tc>
      </w:tr>
      <w:tr w:rsidR="00126DB1" w14:paraId="19790BC3" w14:textId="77777777">
        <w:trPr>
          <w:trHeight w:val="300"/>
        </w:trPr>
        <w:tc>
          <w:tcPr>
            <w:tcW w:w="6120" w:type="dxa"/>
            <w:shd w:val="clear" w:color="auto" w:fill="auto"/>
            <w:vAlign w:val="bottom"/>
          </w:tcPr>
          <w:p w14:paraId="48BE23A8" w14:textId="77777777" w:rsidR="00126DB1" w:rsidRDefault="00126DB1"/>
        </w:tc>
        <w:tc>
          <w:tcPr>
            <w:tcW w:w="517" w:type="dxa"/>
            <w:shd w:val="clear" w:color="auto" w:fill="auto"/>
            <w:vAlign w:val="bottom"/>
          </w:tcPr>
          <w:p w14:paraId="416AB315" w14:textId="77777777" w:rsidR="00126DB1" w:rsidRDefault="00126DB1"/>
        </w:tc>
        <w:tc>
          <w:tcPr>
            <w:tcW w:w="517" w:type="dxa"/>
            <w:shd w:val="clear" w:color="auto" w:fill="auto"/>
            <w:vAlign w:val="bottom"/>
          </w:tcPr>
          <w:p w14:paraId="3564F84F" w14:textId="77777777" w:rsidR="00126DB1" w:rsidRDefault="00126DB1"/>
        </w:tc>
        <w:tc>
          <w:tcPr>
            <w:tcW w:w="13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96B3B4" w14:textId="77777777" w:rsidR="00126DB1" w:rsidRDefault="008C2E57">
            <w:pPr>
              <w:rPr>
                <w:b/>
                <w:bCs/>
                <w:color w:val="000000"/>
              </w:rPr>
            </w:pPr>
            <w:r>
              <w:rPr>
                <w:b/>
                <w:bCs/>
                <w:color w:val="000000"/>
              </w:rPr>
              <w:t>NOTE FID</w:t>
            </w:r>
          </w:p>
        </w:tc>
      </w:tr>
      <w:tr w:rsidR="00126DB1" w14:paraId="71A612C8" w14:textId="77777777">
        <w:trPr>
          <w:trHeight w:val="300"/>
        </w:trPr>
        <w:tc>
          <w:tcPr>
            <w:tcW w:w="6120" w:type="dxa"/>
            <w:shd w:val="clear" w:color="auto" w:fill="auto"/>
            <w:vAlign w:val="bottom"/>
          </w:tcPr>
          <w:p w14:paraId="53C4E59F" w14:textId="77777777" w:rsidR="00126DB1" w:rsidRDefault="00126DB1">
            <w:pPr>
              <w:rPr>
                <w:b/>
                <w:bCs/>
                <w:color w:val="000000"/>
              </w:rPr>
            </w:pPr>
          </w:p>
        </w:tc>
        <w:tc>
          <w:tcPr>
            <w:tcW w:w="517" w:type="dxa"/>
            <w:shd w:val="clear" w:color="auto" w:fill="auto"/>
            <w:vAlign w:val="bottom"/>
          </w:tcPr>
          <w:p w14:paraId="43A9DDED" w14:textId="77777777" w:rsidR="00126DB1" w:rsidRDefault="00126DB1"/>
        </w:tc>
        <w:tc>
          <w:tcPr>
            <w:tcW w:w="517" w:type="dxa"/>
            <w:shd w:val="clear" w:color="auto" w:fill="auto"/>
            <w:vAlign w:val="bottom"/>
          </w:tcPr>
          <w:p w14:paraId="66B3ACC7" w14:textId="77777777" w:rsidR="00126DB1" w:rsidRDefault="00126DB1"/>
        </w:tc>
        <w:tc>
          <w:tcPr>
            <w:tcW w:w="1351" w:type="dxa"/>
            <w:gridSpan w:val="2"/>
            <w:vMerge/>
            <w:shd w:val="clear" w:color="auto" w:fill="auto"/>
            <w:vAlign w:val="center"/>
          </w:tcPr>
          <w:p w14:paraId="15F84CC6" w14:textId="77777777" w:rsidR="00126DB1" w:rsidRDefault="00126DB1">
            <w:pPr>
              <w:rPr>
                <w:b/>
                <w:bCs/>
                <w:color w:val="000000"/>
              </w:rPr>
            </w:pPr>
          </w:p>
        </w:tc>
      </w:tr>
      <w:tr w:rsidR="00126DB1" w14:paraId="0290B584" w14:textId="77777777">
        <w:trPr>
          <w:trHeight w:val="570"/>
        </w:trPr>
        <w:tc>
          <w:tcPr>
            <w:tcW w:w="71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2B6E1B" w14:textId="77777777" w:rsidR="00126DB1" w:rsidRDefault="008C2E57">
            <w:pPr>
              <w:rPr>
                <w:color w:val="000000"/>
              </w:rPr>
            </w:pPr>
            <w:r>
              <w:rPr>
                <w:color w:val="000000"/>
              </w:rPr>
              <w:t>- Respect du délai de livraison du Rapport intermédiaire /Rapport final</w:t>
            </w:r>
          </w:p>
        </w:tc>
        <w:tc>
          <w:tcPr>
            <w:tcW w:w="580" w:type="dxa"/>
            <w:tcBorders>
              <w:bottom w:val="single" w:sz="4" w:space="0" w:color="000000"/>
            </w:tcBorders>
            <w:shd w:val="clear" w:color="auto" w:fill="auto"/>
            <w:vAlign w:val="center"/>
          </w:tcPr>
          <w:p w14:paraId="1C2BC792" w14:textId="77777777" w:rsidR="00126DB1" w:rsidRDefault="008C2E57">
            <w:pPr>
              <w:rPr>
                <w:color w:val="000000"/>
              </w:rPr>
            </w:pPr>
            <w:r>
              <w:rPr>
                <w:color w:val="000000"/>
              </w:rPr>
              <w:t> </w:t>
            </w:r>
          </w:p>
        </w:tc>
        <w:tc>
          <w:tcPr>
            <w:tcW w:w="771" w:type="dxa"/>
            <w:tcBorders>
              <w:bottom w:val="single" w:sz="4" w:space="0" w:color="000000"/>
              <w:right w:val="single" w:sz="4" w:space="0" w:color="000000"/>
            </w:tcBorders>
            <w:shd w:val="clear" w:color="auto" w:fill="auto"/>
            <w:vAlign w:val="center"/>
          </w:tcPr>
          <w:p w14:paraId="5693E3A3" w14:textId="77777777" w:rsidR="00126DB1" w:rsidRDefault="008C2E57">
            <w:pPr>
              <w:rPr>
                <w:color w:val="000000"/>
              </w:rPr>
            </w:pPr>
            <w:r>
              <w:rPr>
                <w:color w:val="000000"/>
              </w:rPr>
              <w:t>/2</w:t>
            </w:r>
          </w:p>
        </w:tc>
      </w:tr>
      <w:tr w:rsidR="00126DB1" w14:paraId="1D894E63" w14:textId="77777777">
        <w:trPr>
          <w:trHeight w:val="300"/>
        </w:trPr>
        <w:tc>
          <w:tcPr>
            <w:tcW w:w="7154" w:type="dxa"/>
            <w:gridSpan w:val="3"/>
            <w:tcBorders>
              <w:top w:val="single" w:sz="4" w:space="0" w:color="000000"/>
              <w:left w:val="single" w:sz="4" w:space="0" w:color="000000"/>
              <w:bottom w:val="single" w:sz="4" w:space="0" w:color="000000"/>
            </w:tcBorders>
            <w:shd w:val="clear" w:color="auto" w:fill="auto"/>
            <w:vAlign w:val="center"/>
          </w:tcPr>
          <w:p w14:paraId="04903F81" w14:textId="77777777" w:rsidR="00126DB1" w:rsidRDefault="008C2E57">
            <w:pPr>
              <w:rPr>
                <w:color w:val="000000"/>
              </w:rPr>
            </w:pPr>
            <w:r>
              <w:rPr>
                <w:color w:val="000000"/>
              </w:rPr>
              <w:t>- Qualité du rapport (contenu, forme)</w:t>
            </w:r>
          </w:p>
        </w:tc>
        <w:tc>
          <w:tcPr>
            <w:tcW w:w="580" w:type="dxa"/>
            <w:tcBorders>
              <w:left w:val="single" w:sz="4" w:space="0" w:color="000000"/>
              <w:bottom w:val="single" w:sz="4" w:space="0" w:color="000000"/>
            </w:tcBorders>
            <w:shd w:val="clear" w:color="auto" w:fill="auto"/>
            <w:vAlign w:val="center"/>
          </w:tcPr>
          <w:p w14:paraId="2CE0F456" w14:textId="77777777" w:rsidR="00126DB1" w:rsidRDefault="008C2E57">
            <w:pPr>
              <w:rPr>
                <w:color w:val="000000"/>
              </w:rPr>
            </w:pPr>
            <w:r>
              <w:rPr>
                <w:color w:val="000000"/>
              </w:rPr>
              <w:t> </w:t>
            </w:r>
          </w:p>
        </w:tc>
        <w:tc>
          <w:tcPr>
            <w:tcW w:w="771" w:type="dxa"/>
            <w:tcBorders>
              <w:bottom w:val="single" w:sz="4" w:space="0" w:color="000000"/>
              <w:right w:val="single" w:sz="4" w:space="0" w:color="000000"/>
            </w:tcBorders>
            <w:shd w:val="clear" w:color="auto" w:fill="auto"/>
            <w:vAlign w:val="center"/>
          </w:tcPr>
          <w:p w14:paraId="4D0A41C0" w14:textId="77777777" w:rsidR="00126DB1" w:rsidRDefault="008C2E57">
            <w:pPr>
              <w:rPr>
                <w:color w:val="000000"/>
              </w:rPr>
            </w:pPr>
            <w:r>
              <w:rPr>
                <w:color w:val="000000"/>
              </w:rPr>
              <w:t>/2</w:t>
            </w:r>
          </w:p>
        </w:tc>
      </w:tr>
      <w:tr w:rsidR="00126DB1" w14:paraId="62FD7D36" w14:textId="77777777">
        <w:trPr>
          <w:trHeight w:val="300"/>
        </w:trPr>
        <w:tc>
          <w:tcPr>
            <w:tcW w:w="7154" w:type="dxa"/>
            <w:gridSpan w:val="3"/>
            <w:tcBorders>
              <w:top w:val="single" w:sz="4" w:space="0" w:color="000000"/>
              <w:left w:val="single" w:sz="4" w:space="0" w:color="000000"/>
              <w:bottom w:val="single" w:sz="4" w:space="0" w:color="000000"/>
            </w:tcBorders>
            <w:shd w:val="clear" w:color="auto" w:fill="auto"/>
            <w:vAlign w:val="center"/>
          </w:tcPr>
          <w:p w14:paraId="3790EFDA" w14:textId="77777777" w:rsidR="00126DB1" w:rsidRDefault="008C2E57">
            <w:pPr>
              <w:rPr>
                <w:color w:val="000000"/>
              </w:rPr>
            </w:pPr>
            <w:r>
              <w:rPr>
                <w:color w:val="000000"/>
              </w:rPr>
              <w:t>- Fréquence de retard du RI ou RF</w:t>
            </w:r>
          </w:p>
        </w:tc>
        <w:tc>
          <w:tcPr>
            <w:tcW w:w="580" w:type="dxa"/>
            <w:tcBorders>
              <w:left w:val="single" w:sz="4" w:space="0" w:color="000000"/>
              <w:bottom w:val="single" w:sz="4" w:space="0" w:color="000000"/>
            </w:tcBorders>
            <w:shd w:val="clear" w:color="auto" w:fill="auto"/>
            <w:vAlign w:val="center"/>
          </w:tcPr>
          <w:p w14:paraId="4E4E4766" w14:textId="77777777" w:rsidR="00126DB1" w:rsidRDefault="008C2E57">
            <w:pPr>
              <w:rPr>
                <w:color w:val="000000"/>
              </w:rPr>
            </w:pPr>
            <w:r>
              <w:rPr>
                <w:color w:val="000000"/>
              </w:rPr>
              <w:t> </w:t>
            </w:r>
          </w:p>
        </w:tc>
        <w:tc>
          <w:tcPr>
            <w:tcW w:w="771" w:type="dxa"/>
            <w:tcBorders>
              <w:bottom w:val="single" w:sz="4" w:space="0" w:color="000000"/>
              <w:right w:val="single" w:sz="4" w:space="0" w:color="000000"/>
            </w:tcBorders>
            <w:shd w:val="clear" w:color="auto" w:fill="auto"/>
            <w:vAlign w:val="center"/>
          </w:tcPr>
          <w:p w14:paraId="2C15FFA7" w14:textId="77777777" w:rsidR="00126DB1" w:rsidRDefault="008C2E57">
            <w:pPr>
              <w:rPr>
                <w:color w:val="000000"/>
              </w:rPr>
            </w:pPr>
            <w:r>
              <w:rPr>
                <w:color w:val="000000"/>
              </w:rPr>
              <w:t>/2</w:t>
            </w:r>
          </w:p>
        </w:tc>
      </w:tr>
      <w:tr w:rsidR="00126DB1" w14:paraId="25AF4ED6" w14:textId="77777777">
        <w:trPr>
          <w:trHeight w:val="525"/>
        </w:trPr>
        <w:tc>
          <w:tcPr>
            <w:tcW w:w="7154" w:type="dxa"/>
            <w:gridSpan w:val="3"/>
            <w:tcBorders>
              <w:top w:val="single" w:sz="4" w:space="0" w:color="000000"/>
              <w:left w:val="single" w:sz="4" w:space="0" w:color="000000"/>
              <w:bottom w:val="single" w:sz="4" w:space="0" w:color="000000"/>
            </w:tcBorders>
            <w:shd w:val="clear" w:color="auto" w:fill="auto"/>
            <w:vAlign w:val="bottom"/>
          </w:tcPr>
          <w:p w14:paraId="31B96EC3" w14:textId="77777777" w:rsidR="00126DB1" w:rsidRDefault="008C2E57">
            <w:pPr>
              <w:rPr>
                <w:color w:val="000000"/>
              </w:rPr>
            </w:pPr>
            <w:r>
              <w:rPr>
                <w:color w:val="000000"/>
              </w:rPr>
              <w:t xml:space="preserve">- Respect des autres </w:t>
            </w:r>
            <w:proofErr w:type="gramStart"/>
            <w:r>
              <w:rPr>
                <w:color w:val="000000"/>
              </w:rPr>
              <w:t>clauses  contractuelles</w:t>
            </w:r>
            <w:proofErr w:type="gramEnd"/>
          </w:p>
        </w:tc>
        <w:tc>
          <w:tcPr>
            <w:tcW w:w="580" w:type="dxa"/>
            <w:tcBorders>
              <w:left w:val="single" w:sz="4" w:space="0" w:color="000000"/>
              <w:bottom w:val="single" w:sz="4" w:space="0" w:color="000000"/>
            </w:tcBorders>
            <w:shd w:val="clear" w:color="auto" w:fill="auto"/>
            <w:vAlign w:val="center"/>
          </w:tcPr>
          <w:p w14:paraId="31DB0921" w14:textId="77777777" w:rsidR="00126DB1" w:rsidRDefault="008C2E57">
            <w:pPr>
              <w:rPr>
                <w:color w:val="000000"/>
              </w:rPr>
            </w:pPr>
            <w:r>
              <w:rPr>
                <w:color w:val="000000"/>
              </w:rPr>
              <w:t> </w:t>
            </w:r>
          </w:p>
        </w:tc>
        <w:tc>
          <w:tcPr>
            <w:tcW w:w="771" w:type="dxa"/>
            <w:tcBorders>
              <w:bottom w:val="single" w:sz="4" w:space="0" w:color="000000"/>
              <w:right w:val="single" w:sz="4" w:space="0" w:color="000000"/>
            </w:tcBorders>
            <w:shd w:val="clear" w:color="auto" w:fill="auto"/>
            <w:vAlign w:val="center"/>
          </w:tcPr>
          <w:p w14:paraId="3AFA0C1C" w14:textId="77777777" w:rsidR="00126DB1" w:rsidRDefault="008C2E57">
            <w:pPr>
              <w:rPr>
                <w:color w:val="000000"/>
              </w:rPr>
            </w:pPr>
            <w:r>
              <w:rPr>
                <w:color w:val="000000"/>
              </w:rPr>
              <w:t>/2</w:t>
            </w:r>
          </w:p>
        </w:tc>
      </w:tr>
      <w:tr w:rsidR="00126DB1" w14:paraId="0A59AC91" w14:textId="77777777">
        <w:trPr>
          <w:trHeight w:val="300"/>
        </w:trPr>
        <w:tc>
          <w:tcPr>
            <w:tcW w:w="6120" w:type="dxa"/>
            <w:shd w:val="clear" w:color="auto" w:fill="auto"/>
            <w:vAlign w:val="bottom"/>
          </w:tcPr>
          <w:p w14:paraId="51703837" w14:textId="77777777" w:rsidR="00126DB1" w:rsidRDefault="00126DB1">
            <w:pPr>
              <w:rPr>
                <w:color w:val="000000"/>
              </w:rPr>
            </w:pPr>
          </w:p>
          <w:p w14:paraId="592972F7" w14:textId="77777777" w:rsidR="00126DB1" w:rsidRDefault="00126DB1">
            <w:pPr>
              <w:rPr>
                <w:color w:val="000000"/>
              </w:rPr>
            </w:pPr>
          </w:p>
        </w:tc>
        <w:tc>
          <w:tcPr>
            <w:tcW w:w="517" w:type="dxa"/>
            <w:shd w:val="clear" w:color="auto" w:fill="auto"/>
            <w:vAlign w:val="bottom"/>
          </w:tcPr>
          <w:p w14:paraId="262C5788" w14:textId="77777777" w:rsidR="00126DB1" w:rsidRDefault="00126DB1"/>
        </w:tc>
        <w:tc>
          <w:tcPr>
            <w:tcW w:w="517" w:type="dxa"/>
            <w:shd w:val="clear" w:color="auto" w:fill="auto"/>
            <w:vAlign w:val="bottom"/>
          </w:tcPr>
          <w:p w14:paraId="0E26C22B" w14:textId="77777777" w:rsidR="00126DB1" w:rsidRDefault="00126DB1"/>
        </w:tc>
        <w:tc>
          <w:tcPr>
            <w:tcW w:w="580" w:type="dxa"/>
            <w:tcBorders>
              <w:left w:val="single" w:sz="4" w:space="0" w:color="000000"/>
              <w:bottom w:val="single" w:sz="4" w:space="0" w:color="000000"/>
            </w:tcBorders>
            <w:shd w:val="clear" w:color="auto" w:fill="auto"/>
            <w:vAlign w:val="center"/>
          </w:tcPr>
          <w:p w14:paraId="7FF3A337" w14:textId="77777777" w:rsidR="00126DB1" w:rsidRDefault="008C2E57">
            <w:pPr>
              <w:rPr>
                <w:color w:val="000000"/>
              </w:rPr>
            </w:pPr>
            <w:r>
              <w:rPr>
                <w:color w:val="000000"/>
              </w:rPr>
              <w:t>0</w:t>
            </w:r>
          </w:p>
        </w:tc>
        <w:tc>
          <w:tcPr>
            <w:tcW w:w="771" w:type="dxa"/>
            <w:tcBorders>
              <w:bottom w:val="single" w:sz="4" w:space="0" w:color="000000"/>
              <w:right w:val="single" w:sz="4" w:space="0" w:color="000000"/>
            </w:tcBorders>
            <w:shd w:val="clear" w:color="auto" w:fill="auto"/>
            <w:vAlign w:val="center"/>
          </w:tcPr>
          <w:p w14:paraId="40C96CA4" w14:textId="77777777" w:rsidR="00126DB1" w:rsidRDefault="008C2E57">
            <w:pPr>
              <w:rPr>
                <w:b/>
                <w:bCs/>
                <w:color w:val="000000"/>
              </w:rPr>
            </w:pPr>
            <w:r>
              <w:rPr>
                <w:b/>
                <w:bCs/>
                <w:color w:val="000000"/>
              </w:rPr>
              <w:t>/8</w:t>
            </w:r>
          </w:p>
        </w:tc>
      </w:tr>
      <w:tr w:rsidR="00126DB1" w14:paraId="27F5018E" w14:textId="77777777">
        <w:trPr>
          <w:trHeight w:val="300"/>
        </w:trPr>
        <w:tc>
          <w:tcPr>
            <w:tcW w:w="7154" w:type="dxa"/>
            <w:gridSpan w:val="3"/>
            <w:shd w:val="clear" w:color="auto" w:fill="auto"/>
            <w:vAlign w:val="bottom"/>
          </w:tcPr>
          <w:p w14:paraId="2D3DFA1D" w14:textId="77777777" w:rsidR="00126DB1" w:rsidRDefault="008C2E57">
            <w:pPr>
              <w:rPr>
                <w:b/>
                <w:bCs/>
                <w:color w:val="000000"/>
              </w:rPr>
            </w:pPr>
            <w:r>
              <w:rPr>
                <w:b/>
                <w:bCs/>
                <w:color w:val="000000"/>
                <w:u w:val="single"/>
              </w:rPr>
              <w:t xml:space="preserve">NOTE </w:t>
            </w:r>
            <w:proofErr w:type="gramStart"/>
            <w:r>
              <w:rPr>
                <w:b/>
                <w:bCs/>
                <w:color w:val="000000"/>
                <w:u w:val="single"/>
              </w:rPr>
              <w:t>2</w:t>
            </w:r>
            <w:r>
              <w:rPr>
                <w:b/>
                <w:bCs/>
                <w:color w:val="000000"/>
              </w:rPr>
              <w:t>:</w:t>
            </w:r>
            <w:proofErr w:type="gramEnd"/>
            <w:r>
              <w:rPr>
                <w:b/>
                <w:bCs/>
                <w:color w:val="000000"/>
              </w:rPr>
              <w:t xml:space="preserve"> SUR LE NOMBRE DES PLAINTES RECUES</w:t>
            </w:r>
          </w:p>
        </w:tc>
        <w:tc>
          <w:tcPr>
            <w:tcW w:w="580" w:type="dxa"/>
            <w:shd w:val="clear" w:color="auto" w:fill="auto"/>
            <w:vAlign w:val="bottom"/>
          </w:tcPr>
          <w:p w14:paraId="3DB0F04B" w14:textId="77777777" w:rsidR="00126DB1" w:rsidRDefault="00126DB1">
            <w:pPr>
              <w:rPr>
                <w:b/>
                <w:bCs/>
                <w:color w:val="000000"/>
              </w:rPr>
            </w:pPr>
          </w:p>
        </w:tc>
        <w:tc>
          <w:tcPr>
            <w:tcW w:w="771" w:type="dxa"/>
            <w:shd w:val="clear" w:color="auto" w:fill="auto"/>
            <w:vAlign w:val="bottom"/>
          </w:tcPr>
          <w:p w14:paraId="47FF4B35" w14:textId="77777777" w:rsidR="00126DB1" w:rsidRDefault="00126DB1"/>
        </w:tc>
      </w:tr>
      <w:tr w:rsidR="00126DB1" w14:paraId="40ED5F9E" w14:textId="77777777">
        <w:trPr>
          <w:trHeight w:hRule="exact" w:val="300"/>
        </w:trPr>
        <w:tc>
          <w:tcPr>
            <w:tcW w:w="6120" w:type="dxa"/>
            <w:shd w:val="clear" w:color="auto" w:fill="auto"/>
            <w:vAlign w:val="bottom"/>
          </w:tcPr>
          <w:p w14:paraId="7D495B21" w14:textId="77777777" w:rsidR="00126DB1" w:rsidRDefault="00126DB1"/>
        </w:tc>
        <w:tc>
          <w:tcPr>
            <w:tcW w:w="517" w:type="dxa"/>
            <w:shd w:val="clear" w:color="auto" w:fill="auto"/>
            <w:vAlign w:val="bottom"/>
          </w:tcPr>
          <w:p w14:paraId="023A0A30" w14:textId="77777777" w:rsidR="00126DB1" w:rsidRDefault="00126DB1"/>
        </w:tc>
        <w:tc>
          <w:tcPr>
            <w:tcW w:w="517" w:type="dxa"/>
            <w:shd w:val="clear" w:color="auto" w:fill="auto"/>
            <w:vAlign w:val="bottom"/>
          </w:tcPr>
          <w:p w14:paraId="07A57708" w14:textId="77777777" w:rsidR="00126DB1" w:rsidRDefault="00126DB1"/>
        </w:tc>
        <w:tc>
          <w:tcPr>
            <w:tcW w:w="580" w:type="dxa"/>
            <w:shd w:val="clear" w:color="auto" w:fill="auto"/>
            <w:vAlign w:val="bottom"/>
          </w:tcPr>
          <w:p w14:paraId="71D42C19" w14:textId="77777777" w:rsidR="00126DB1" w:rsidRDefault="00126DB1"/>
        </w:tc>
        <w:tc>
          <w:tcPr>
            <w:tcW w:w="771" w:type="dxa"/>
            <w:shd w:val="clear" w:color="auto" w:fill="auto"/>
            <w:vAlign w:val="bottom"/>
          </w:tcPr>
          <w:p w14:paraId="73ACA2C5" w14:textId="77777777" w:rsidR="00126DB1" w:rsidRDefault="00126DB1"/>
        </w:tc>
      </w:tr>
      <w:tr w:rsidR="00126DB1" w14:paraId="5E2CAA53" w14:textId="77777777">
        <w:trPr>
          <w:trHeight w:val="900"/>
        </w:trPr>
        <w:tc>
          <w:tcPr>
            <w:tcW w:w="6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A1A92" w14:textId="77777777" w:rsidR="00126DB1" w:rsidRDefault="008C2E57">
            <w:pPr>
              <w:rPr>
                <w:b/>
                <w:bCs/>
                <w:color w:val="000000"/>
              </w:rPr>
            </w:pPr>
            <w:r>
              <w:rPr>
                <w:b/>
                <w:bCs/>
                <w:color w:val="000000"/>
              </w:rPr>
              <w:lastRenderedPageBreak/>
              <w:t>Nombre de plaintes (P) reçues par site</w:t>
            </w:r>
          </w:p>
        </w:tc>
        <w:tc>
          <w:tcPr>
            <w:tcW w:w="1034" w:type="dxa"/>
            <w:gridSpan w:val="2"/>
            <w:tcBorders>
              <w:top w:val="single" w:sz="4" w:space="0" w:color="000000"/>
              <w:bottom w:val="single" w:sz="4" w:space="0" w:color="000000"/>
              <w:right w:val="single" w:sz="4" w:space="0" w:color="000000"/>
            </w:tcBorders>
            <w:shd w:val="clear" w:color="auto" w:fill="auto"/>
            <w:vAlign w:val="center"/>
          </w:tcPr>
          <w:p w14:paraId="005A3BA5" w14:textId="77777777" w:rsidR="00126DB1" w:rsidRDefault="008C2E57">
            <w:pPr>
              <w:rPr>
                <w:b/>
                <w:bCs/>
                <w:color w:val="000000"/>
              </w:rPr>
            </w:pPr>
            <w:r>
              <w:rPr>
                <w:b/>
                <w:bCs/>
                <w:color w:val="000000"/>
              </w:rPr>
              <w:t>Notation</w:t>
            </w:r>
          </w:p>
        </w:tc>
        <w:tc>
          <w:tcPr>
            <w:tcW w:w="580" w:type="dxa"/>
            <w:shd w:val="clear" w:color="auto" w:fill="auto"/>
            <w:vAlign w:val="bottom"/>
          </w:tcPr>
          <w:p w14:paraId="20AECBEF" w14:textId="77777777" w:rsidR="00126DB1" w:rsidRDefault="00126DB1">
            <w:pPr>
              <w:rPr>
                <w:b/>
                <w:bCs/>
                <w:color w:val="000000"/>
              </w:rPr>
            </w:pPr>
          </w:p>
        </w:tc>
        <w:tc>
          <w:tcPr>
            <w:tcW w:w="771" w:type="dxa"/>
            <w:shd w:val="clear" w:color="auto" w:fill="auto"/>
            <w:vAlign w:val="bottom"/>
          </w:tcPr>
          <w:p w14:paraId="6CD262FE" w14:textId="77777777" w:rsidR="00126DB1" w:rsidRDefault="00126DB1"/>
        </w:tc>
      </w:tr>
      <w:tr w:rsidR="00126DB1" w14:paraId="28AA9161" w14:textId="77777777">
        <w:trPr>
          <w:trHeight w:val="300"/>
        </w:trPr>
        <w:tc>
          <w:tcPr>
            <w:tcW w:w="6120" w:type="dxa"/>
            <w:tcBorders>
              <w:left w:val="single" w:sz="4" w:space="0" w:color="000000"/>
              <w:bottom w:val="single" w:sz="4" w:space="0" w:color="000000"/>
              <w:right w:val="single" w:sz="4" w:space="0" w:color="000000"/>
            </w:tcBorders>
            <w:shd w:val="clear" w:color="auto" w:fill="auto"/>
            <w:vAlign w:val="center"/>
          </w:tcPr>
          <w:p w14:paraId="728F1C53" w14:textId="77777777" w:rsidR="00126DB1" w:rsidRDefault="008C2E57">
            <w:pPr>
              <w:rPr>
                <w:color w:val="000000"/>
              </w:rPr>
            </w:pPr>
            <w:r>
              <w:rPr>
                <w:color w:val="000000"/>
              </w:rPr>
              <w:t>0 ≤ P ≤ 10</w:t>
            </w:r>
          </w:p>
        </w:tc>
        <w:tc>
          <w:tcPr>
            <w:tcW w:w="1034" w:type="dxa"/>
            <w:gridSpan w:val="2"/>
            <w:tcBorders>
              <w:top w:val="single" w:sz="4" w:space="0" w:color="000000"/>
              <w:bottom w:val="single" w:sz="4" w:space="0" w:color="000000"/>
              <w:right w:val="single" w:sz="4" w:space="0" w:color="000000"/>
            </w:tcBorders>
            <w:shd w:val="clear" w:color="auto" w:fill="auto"/>
            <w:vAlign w:val="bottom"/>
          </w:tcPr>
          <w:p w14:paraId="773E84C0" w14:textId="77777777" w:rsidR="00126DB1" w:rsidRDefault="008C2E57">
            <w:pPr>
              <w:rPr>
                <w:b/>
                <w:bCs/>
                <w:color w:val="000000"/>
              </w:rPr>
            </w:pPr>
            <w:r>
              <w:rPr>
                <w:b/>
                <w:bCs/>
                <w:color w:val="000000"/>
              </w:rPr>
              <w:t>10</w:t>
            </w:r>
          </w:p>
        </w:tc>
        <w:tc>
          <w:tcPr>
            <w:tcW w:w="580" w:type="dxa"/>
            <w:shd w:val="clear" w:color="auto" w:fill="auto"/>
            <w:vAlign w:val="bottom"/>
          </w:tcPr>
          <w:p w14:paraId="3477A978" w14:textId="77777777" w:rsidR="00126DB1" w:rsidRDefault="00126DB1">
            <w:pPr>
              <w:rPr>
                <w:b/>
                <w:bCs/>
                <w:color w:val="000000"/>
              </w:rPr>
            </w:pPr>
          </w:p>
        </w:tc>
        <w:tc>
          <w:tcPr>
            <w:tcW w:w="771" w:type="dxa"/>
            <w:shd w:val="clear" w:color="auto" w:fill="auto"/>
            <w:vAlign w:val="bottom"/>
          </w:tcPr>
          <w:p w14:paraId="6DAD33D6" w14:textId="77777777" w:rsidR="00126DB1" w:rsidRDefault="00126DB1"/>
        </w:tc>
      </w:tr>
      <w:tr w:rsidR="00126DB1" w14:paraId="2F028E3C" w14:textId="77777777">
        <w:trPr>
          <w:trHeight w:val="300"/>
        </w:trPr>
        <w:tc>
          <w:tcPr>
            <w:tcW w:w="6120" w:type="dxa"/>
            <w:tcBorders>
              <w:left w:val="single" w:sz="4" w:space="0" w:color="000000"/>
              <w:bottom w:val="single" w:sz="4" w:space="0" w:color="000000"/>
              <w:right w:val="single" w:sz="4" w:space="0" w:color="000000"/>
            </w:tcBorders>
            <w:shd w:val="clear" w:color="auto" w:fill="auto"/>
            <w:vAlign w:val="center"/>
          </w:tcPr>
          <w:p w14:paraId="3297FACC" w14:textId="77777777" w:rsidR="00126DB1" w:rsidRDefault="008C2E57">
            <w:pPr>
              <w:rPr>
                <w:color w:val="000000"/>
              </w:rPr>
            </w:pPr>
            <w:r>
              <w:rPr>
                <w:color w:val="000000"/>
              </w:rPr>
              <w:t>11 ≤ P ≤ 25</w:t>
            </w:r>
          </w:p>
        </w:tc>
        <w:tc>
          <w:tcPr>
            <w:tcW w:w="1034" w:type="dxa"/>
            <w:gridSpan w:val="2"/>
            <w:tcBorders>
              <w:top w:val="single" w:sz="4" w:space="0" w:color="000000"/>
              <w:bottom w:val="single" w:sz="4" w:space="0" w:color="000000"/>
              <w:right w:val="single" w:sz="4" w:space="0" w:color="000000"/>
            </w:tcBorders>
            <w:shd w:val="clear" w:color="auto" w:fill="auto"/>
            <w:vAlign w:val="bottom"/>
          </w:tcPr>
          <w:p w14:paraId="0B7D45AB" w14:textId="77777777" w:rsidR="00126DB1" w:rsidRDefault="008C2E57">
            <w:pPr>
              <w:rPr>
                <w:b/>
                <w:bCs/>
                <w:color w:val="000000"/>
              </w:rPr>
            </w:pPr>
            <w:r>
              <w:rPr>
                <w:b/>
                <w:bCs/>
                <w:color w:val="000000"/>
              </w:rPr>
              <w:t>5</w:t>
            </w:r>
          </w:p>
        </w:tc>
        <w:tc>
          <w:tcPr>
            <w:tcW w:w="580" w:type="dxa"/>
            <w:shd w:val="clear" w:color="auto" w:fill="auto"/>
            <w:vAlign w:val="bottom"/>
          </w:tcPr>
          <w:p w14:paraId="5FE677A1" w14:textId="77777777" w:rsidR="00126DB1" w:rsidRDefault="00126DB1">
            <w:pPr>
              <w:rPr>
                <w:b/>
                <w:bCs/>
                <w:color w:val="000000"/>
              </w:rPr>
            </w:pPr>
          </w:p>
        </w:tc>
        <w:tc>
          <w:tcPr>
            <w:tcW w:w="771" w:type="dxa"/>
            <w:shd w:val="clear" w:color="auto" w:fill="auto"/>
            <w:vAlign w:val="bottom"/>
          </w:tcPr>
          <w:p w14:paraId="27883268" w14:textId="77777777" w:rsidR="00126DB1" w:rsidRDefault="00126DB1"/>
        </w:tc>
      </w:tr>
      <w:tr w:rsidR="00126DB1" w14:paraId="17EF376D" w14:textId="77777777">
        <w:trPr>
          <w:trHeight w:val="300"/>
        </w:trPr>
        <w:tc>
          <w:tcPr>
            <w:tcW w:w="6120" w:type="dxa"/>
            <w:tcBorders>
              <w:left w:val="single" w:sz="4" w:space="0" w:color="000000"/>
              <w:bottom w:val="single" w:sz="4" w:space="0" w:color="000000"/>
              <w:right w:val="single" w:sz="4" w:space="0" w:color="000000"/>
            </w:tcBorders>
            <w:shd w:val="clear" w:color="auto" w:fill="auto"/>
            <w:vAlign w:val="center"/>
          </w:tcPr>
          <w:p w14:paraId="10174E18" w14:textId="77777777" w:rsidR="00126DB1" w:rsidRDefault="008C2E57">
            <w:pPr>
              <w:rPr>
                <w:color w:val="000000"/>
              </w:rPr>
            </w:pPr>
            <w:r>
              <w:rPr>
                <w:color w:val="000000"/>
              </w:rPr>
              <w:t>P &gt; 25</w:t>
            </w:r>
          </w:p>
        </w:tc>
        <w:tc>
          <w:tcPr>
            <w:tcW w:w="1034" w:type="dxa"/>
            <w:gridSpan w:val="2"/>
            <w:tcBorders>
              <w:top w:val="single" w:sz="4" w:space="0" w:color="000000"/>
              <w:bottom w:val="single" w:sz="4" w:space="0" w:color="000000"/>
              <w:right w:val="single" w:sz="4" w:space="0" w:color="000000"/>
            </w:tcBorders>
            <w:shd w:val="clear" w:color="auto" w:fill="auto"/>
            <w:vAlign w:val="bottom"/>
          </w:tcPr>
          <w:p w14:paraId="691BAE55" w14:textId="77777777" w:rsidR="00126DB1" w:rsidRDefault="008C2E57">
            <w:pPr>
              <w:rPr>
                <w:b/>
                <w:bCs/>
                <w:color w:val="000000"/>
              </w:rPr>
            </w:pPr>
            <w:r>
              <w:rPr>
                <w:b/>
                <w:bCs/>
                <w:color w:val="000000"/>
              </w:rPr>
              <w:t>0</w:t>
            </w:r>
          </w:p>
        </w:tc>
        <w:tc>
          <w:tcPr>
            <w:tcW w:w="580" w:type="dxa"/>
            <w:shd w:val="clear" w:color="auto" w:fill="auto"/>
            <w:vAlign w:val="bottom"/>
          </w:tcPr>
          <w:p w14:paraId="65FBD4E2" w14:textId="77777777" w:rsidR="00126DB1" w:rsidRDefault="00126DB1">
            <w:pPr>
              <w:rPr>
                <w:b/>
                <w:bCs/>
                <w:color w:val="000000"/>
              </w:rPr>
            </w:pPr>
          </w:p>
        </w:tc>
        <w:tc>
          <w:tcPr>
            <w:tcW w:w="771" w:type="dxa"/>
            <w:shd w:val="clear" w:color="auto" w:fill="auto"/>
            <w:vAlign w:val="bottom"/>
          </w:tcPr>
          <w:p w14:paraId="0922D26C" w14:textId="77777777" w:rsidR="00126DB1" w:rsidRDefault="00126DB1"/>
        </w:tc>
      </w:tr>
    </w:tbl>
    <w:p w14:paraId="4F2E214B" w14:textId="77777777" w:rsidR="00126DB1" w:rsidRDefault="00126DB1">
      <w:pPr>
        <w:spacing w:after="120"/>
      </w:pPr>
    </w:p>
    <w:p w14:paraId="37C02C23" w14:textId="77777777" w:rsidR="00126DB1" w:rsidRDefault="008C2E57">
      <w:pPr>
        <w:spacing w:after="120"/>
      </w:pPr>
      <w:r>
        <w:t xml:space="preserve">La somme des notes obtenues par une agence de paiement </w:t>
      </w:r>
      <w:r>
        <w:rPr>
          <w:b/>
        </w:rPr>
        <w:t>N = N1 + N2 va de 0 à 30</w:t>
      </w:r>
      <w:r>
        <w:t>. Le classement et l'appréciation se feront suivant les intervalles de :</w:t>
      </w:r>
    </w:p>
    <w:tbl>
      <w:tblPr>
        <w:tblW w:w="7814" w:type="dxa"/>
        <w:tblInd w:w="5" w:type="dxa"/>
        <w:tblCellMar>
          <w:left w:w="70" w:type="dxa"/>
          <w:right w:w="70" w:type="dxa"/>
        </w:tblCellMar>
        <w:tblLook w:val="04A0" w:firstRow="1" w:lastRow="0" w:firstColumn="1" w:lastColumn="0" w:noHBand="0" w:noVBand="1"/>
      </w:tblPr>
      <w:tblGrid>
        <w:gridCol w:w="3320"/>
        <w:gridCol w:w="1994"/>
        <w:gridCol w:w="2500"/>
      </w:tblGrid>
      <w:tr w:rsidR="00126DB1" w14:paraId="3571611E" w14:textId="77777777">
        <w:trPr>
          <w:trHeight w:val="375"/>
        </w:trPr>
        <w:tc>
          <w:tcPr>
            <w:tcW w:w="7814" w:type="dxa"/>
            <w:gridSpan w:val="3"/>
            <w:shd w:val="clear" w:color="auto" w:fill="auto"/>
            <w:vAlign w:val="bottom"/>
          </w:tcPr>
          <w:p w14:paraId="626A1826" w14:textId="77777777" w:rsidR="00126DB1" w:rsidRDefault="008C2E57">
            <w:pPr>
              <w:rPr>
                <w:b/>
                <w:bCs/>
                <w:color w:val="000000"/>
                <w:u w:val="single"/>
              </w:rPr>
            </w:pPr>
            <w:r>
              <w:rPr>
                <w:b/>
                <w:bCs/>
                <w:color w:val="000000"/>
                <w:u w:val="single"/>
              </w:rPr>
              <w:t>APPRECIATION</w:t>
            </w:r>
          </w:p>
          <w:p w14:paraId="1B2D570D" w14:textId="77777777" w:rsidR="00126DB1" w:rsidRDefault="00126DB1"/>
        </w:tc>
      </w:tr>
      <w:tr w:rsidR="00126DB1" w14:paraId="628C7186" w14:textId="77777777">
        <w:trPr>
          <w:trHeight w:val="300"/>
        </w:trPr>
        <w:tc>
          <w:tcPr>
            <w:tcW w:w="33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A79C1B" w14:textId="77777777" w:rsidR="00126DB1" w:rsidRDefault="008C2E57">
            <w:pPr>
              <w:rPr>
                <w:b/>
                <w:bCs/>
                <w:color w:val="000000"/>
              </w:rPr>
            </w:pPr>
            <w:r>
              <w:rPr>
                <w:b/>
                <w:bCs/>
                <w:color w:val="000000"/>
              </w:rPr>
              <w:t>NOTE N</w:t>
            </w:r>
          </w:p>
        </w:tc>
        <w:tc>
          <w:tcPr>
            <w:tcW w:w="1994" w:type="dxa"/>
            <w:tcBorders>
              <w:top w:val="single" w:sz="4" w:space="0" w:color="000000"/>
              <w:bottom w:val="single" w:sz="4" w:space="0" w:color="000000"/>
              <w:right w:val="single" w:sz="4" w:space="0" w:color="000000"/>
            </w:tcBorders>
            <w:shd w:val="clear" w:color="auto" w:fill="auto"/>
            <w:vAlign w:val="bottom"/>
          </w:tcPr>
          <w:p w14:paraId="0E1C9A58" w14:textId="77777777" w:rsidR="00126DB1" w:rsidRDefault="008C2E57">
            <w:pPr>
              <w:rPr>
                <w:b/>
                <w:bCs/>
                <w:color w:val="000000"/>
              </w:rPr>
            </w:pPr>
            <w:r>
              <w:rPr>
                <w:b/>
                <w:bCs/>
                <w:color w:val="000000"/>
              </w:rPr>
              <w:t>APPRECIATION</w:t>
            </w:r>
          </w:p>
        </w:tc>
        <w:tc>
          <w:tcPr>
            <w:tcW w:w="2500" w:type="dxa"/>
            <w:tcBorders>
              <w:top w:val="single" w:sz="4" w:space="0" w:color="000000"/>
              <w:bottom w:val="single" w:sz="4" w:space="0" w:color="000000"/>
              <w:right w:val="single" w:sz="4" w:space="0" w:color="000000"/>
            </w:tcBorders>
            <w:shd w:val="clear" w:color="auto" w:fill="auto"/>
            <w:vAlign w:val="bottom"/>
          </w:tcPr>
          <w:p w14:paraId="7A59CFF9" w14:textId="77777777" w:rsidR="00126DB1" w:rsidRDefault="008C2E57">
            <w:pPr>
              <w:rPr>
                <w:b/>
                <w:bCs/>
                <w:color w:val="000000"/>
              </w:rPr>
            </w:pPr>
            <w:r>
              <w:rPr>
                <w:b/>
                <w:bCs/>
                <w:color w:val="000000"/>
              </w:rPr>
              <w:t>Mesure</w:t>
            </w:r>
          </w:p>
        </w:tc>
      </w:tr>
      <w:tr w:rsidR="00126DB1" w14:paraId="7EE58393" w14:textId="77777777">
        <w:trPr>
          <w:trHeight w:val="615"/>
        </w:trPr>
        <w:tc>
          <w:tcPr>
            <w:tcW w:w="3320" w:type="dxa"/>
            <w:tcBorders>
              <w:left w:val="single" w:sz="4" w:space="0" w:color="000000"/>
              <w:bottom w:val="single" w:sz="4" w:space="0" w:color="000000"/>
              <w:right w:val="single" w:sz="4" w:space="0" w:color="000000"/>
            </w:tcBorders>
            <w:shd w:val="clear" w:color="auto" w:fill="auto"/>
            <w:vAlign w:val="center"/>
          </w:tcPr>
          <w:p w14:paraId="40EC1B70" w14:textId="77777777" w:rsidR="00126DB1" w:rsidRDefault="008C2E57">
            <w:pPr>
              <w:rPr>
                <w:color w:val="000000"/>
              </w:rPr>
            </w:pPr>
            <w:r>
              <w:rPr>
                <w:color w:val="000000"/>
              </w:rPr>
              <w:t>0 à 9</w:t>
            </w:r>
          </w:p>
        </w:tc>
        <w:tc>
          <w:tcPr>
            <w:tcW w:w="1994" w:type="dxa"/>
            <w:tcBorders>
              <w:top w:val="single" w:sz="4" w:space="0" w:color="000000"/>
              <w:bottom w:val="single" w:sz="4" w:space="0" w:color="000000"/>
              <w:right w:val="single" w:sz="4" w:space="0" w:color="000000"/>
            </w:tcBorders>
            <w:shd w:val="clear" w:color="auto" w:fill="auto"/>
            <w:vAlign w:val="center"/>
          </w:tcPr>
          <w:p w14:paraId="3CE577E5" w14:textId="77777777" w:rsidR="00126DB1" w:rsidRDefault="008C2E57">
            <w:pPr>
              <w:rPr>
                <w:color w:val="000000"/>
              </w:rPr>
            </w:pPr>
            <w:r>
              <w:rPr>
                <w:color w:val="000000"/>
              </w:rPr>
              <w:t>Performance insuffisante</w:t>
            </w:r>
          </w:p>
        </w:tc>
        <w:tc>
          <w:tcPr>
            <w:tcW w:w="2500" w:type="dxa"/>
            <w:tcBorders>
              <w:bottom w:val="single" w:sz="4" w:space="0" w:color="000000"/>
              <w:right w:val="single" w:sz="4" w:space="0" w:color="000000"/>
            </w:tcBorders>
            <w:shd w:val="clear" w:color="auto" w:fill="auto"/>
            <w:vAlign w:val="center"/>
          </w:tcPr>
          <w:p w14:paraId="4A356EB9" w14:textId="77777777" w:rsidR="00126DB1" w:rsidRDefault="008C2E57">
            <w:pPr>
              <w:rPr>
                <w:color w:val="000000"/>
              </w:rPr>
            </w:pPr>
            <w:r>
              <w:rPr>
                <w:color w:val="000000"/>
              </w:rPr>
              <w:t>Contrat non reconduit</w:t>
            </w:r>
          </w:p>
        </w:tc>
      </w:tr>
      <w:tr w:rsidR="00126DB1" w14:paraId="65C60572" w14:textId="77777777">
        <w:trPr>
          <w:trHeight w:val="1290"/>
        </w:trPr>
        <w:tc>
          <w:tcPr>
            <w:tcW w:w="3320" w:type="dxa"/>
            <w:tcBorders>
              <w:left w:val="single" w:sz="4" w:space="0" w:color="000000"/>
              <w:bottom w:val="single" w:sz="4" w:space="0" w:color="000000"/>
              <w:right w:val="single" w:sz="4" w:space="0" w:color="000000"/>
            </w:tcBorders>
            <w:shd w:val="clear" w:color="auto" w:fill="auto"/>
            <w:vAlign w:val="center"/>
          </w:tcPr>
          <w:p w14:paraId="45F58C79" w14:textId="77777777" w:rsidR="00126DB1" w:rsidRDefault="008C2E57">
            <w:pPr>
              <w:rPr>
                <w:color w:val="000000"/>
              </w:rPr>
            </w:pPr>
            <w:r>
              <w:rPr>
                <w:color w:val="000000"/>
              </w:rPr>
              <w:t>10 à 19</w:t>
            </w:r>
          </w:p>
        </w:tc>
        <w:tc>
          <w:tcPr>
            <w:tcW w:w="1994" w:type="dxa"/>
            <w:tcBorders>
              <w:top w:val="single" w:sz="4" w:space="0" w:color="000000"/>
              <w:bottom w:val="single" w:sz="4" w:space="0" w:color="000000"/>
              <w:right w:val="single" w:sz="4" w:space="0" w:color="000000"/>
            </w:tcBorders>
            <w:shd w:val="clear" w:color="auto" w:fill="auto"/>
            <w:vAlign w:val="center"/>
          </w:tcPr>
          <w:p w14:paraId="781AD159" w14:textId="77777777" w:rsidR="00126DB1" w:rsidRDefault="008C2E57">
            <w:pPr>
              <w:rPr>
                <w:color w:val="000000"/>
              </w:rPr>
            </w:pPr>
            <w:r>
              <w:rPr>
                <w:color w:val="000000"/>
              </w:rPr>
              <w:t>Performance moyenne</w:t>
            </w:r>
          </w:p>
        </w:tc>
        <w:tc>
          <w:tcPr>
            <w:tcW w:w="2500" w:type="dxa"/>
            <w:tcBorders>
              <w:bottom w:val="single" w:sz="4" w:space="0" w:color="000000"/>
              <w:right w:val="single" w:sz="4" w:space="0" w:color="000000"/>
            </w:tcBorders>
            <w:shd w:val="clear" w:color="auto" w:fill="auto"/>
            <w:vAlign w:val="center"/>
          </w:tcPr>
          <w:p w14:paraId="37DE49E7" w14:textId="77777777" w:rsidR="00126DB1" w:rsidRDefault="008C2E57">
            <w:pPr>
              <w:rPr>
                <w:color w:val="000000"/>
              </w:rPr>
            </w:pPr>
            <w:r>
              <w:rPr>
                <w:color w:val="000000"/>
              </w:rPr>
              <w:t>Reconduction avec des mesures de suivi plus rapprochées</w:t>
            </w:r>
          </w:p>
        </w:tc>
      </w:tr>
      <w:tr w:rsidR="00126DB1" w14:paraId="09CE2DC2" w14:textId="77777777">
        <w:trPr>
          <w:trHeight w:val="735"/>
        </w:trPr>
        <w:tc>
          <w:tcPr>
            <w:tcW w:w="3320" w:type="dxa"/>
            <w:tcBorders>
              <w:left w:val="single" w:sz="4" w:space="0" w:color="000000"/>
              <w:bottom w:val="single" w:sz="4" w:space="0" w:color="000000"/>
              <w:right w:val="single" w:sz="4" w:space="0" w:color="000000"/>
            </w:tcBorders>
            <w:shd w:val="clear" w:color="auto" w:fill="auto"/>
            <w:vAlign w:val="center"/>
          </w:tcPr>
          <w:p w14:paraId="78CBE125" w14:textId="77777777" w:rsidR="00126DB1" w:rsidRDefault="008C2E57">
            <w:pPr>
              <w:rPr>
                <w:color w:val="000000"/>
              </w:rPr>
            </w:pPr>
            <w:r>
              <w:rPr>
                <w:color w:val="000000"/>
              </w:rPr>
              <w:t>20 à 30</w:t>
            </w:r>
          </w:p>
        </w:tc>
        <w:tc>
          <w:tcPr>
            <w:tcW w:w="1994" w:type="dxa"/>
            <w:tcBorders>
              <w:top w:val="single" w:sz="4" w:space="0" w:color="000000"/>
              <w:bottom w:val="single" w:sz="4" w:space="0" w:color="000000"/>
              <w:right w:val="single" w:sz="4" w:space="0" w:color="000000"/>
            </w:tcBorders>
            <w:shd w:val="clear" w:color="auto" w:fill="auto"/>
            <w:vAlign w:val="center"/>
          </w:tcPr>
          <w:p w14:paraId="40893683" w14:textId="77777777" w:rsidR="00126DB1" w:rsidRDefault="008C2E57">
            <w:pPr>
              <w:rPr>
                <w:color w:val="000000"/>
              </w:rPr>
            </w:pPr>
            <w:r>
              <w:rPr>
                <w:color w:val="000000"/>
              </w:rPr>
              <w:t>Bonne performance</w:t>
            </w:r>
          </w:p>
        </w:tc>
        <w:tc>
          <w:tcPr>
            <w:tcW w:w="2500" w:type="dxa"/>
            <w:tcBorders>
              <w:bottom w:val="single" w:sz="4" w:space="0" w:color="000000"/>
              <w:right w:val="single" w:sz="4" w:space="0" w:color="000000"/>
            </w:tcBorders>
            <w:shd w:val="clear" w:color="auto" w:fill="auto"/>
            <w:vAlign w:val="center"/>
          </w:tcPr>
          <w:p w14:paraId="6AFD12FC" w14:textId="77777777" w:rsidR="00126DB1" w:rsidRDefault="008C2E57">
            <w:pPr>
              <w:rPr>
                <w:color w:val="000000"/>
              </w:rPr>
            </w:pPr>
            <w:r>
              <w:rPr>
                <w:color w:val="000000"/>
              </w:rPr>
              <w:t>Reconduction</w:t>
            </w:r>
          </w:p>
        </w:tc>
      </w:tr>
    </w:tbl>
    <w:p w14:paraId="45BE27A5" w14:textId="77777777" w:rsidR="00126DB1" w:rsidRDefault="00126DB1">
      <w:pPr>
        <w:spacing w:after="120"/>
        <w:ind w:right="567"/>
      </w:pPr>
    </w:p>
    <w:p w14:paraId="2B03B950" w14:textId="77777777" w:rsidR="00126DB1" w:rsidRDefault="008C2E57">
      <w:pPr>
        <w:pStyle w:val="Paragraphedeliste"/>
        <w:numPr>
          <w:ilvl w:val="0"/>
          <w:numId w:val="3"/>
        </w:numPr>
        <w:shd w:val="clear" w:color="auto" w:fill="FFFFFF" w:themeFill="background1"/>
        <w:spacing w:after="120" w:line="240" w:lineRule="auto"/>
        <w:ind w:left="0" w:right="567" w:firstLine="0"/>
        <w:jc w:val="both"/>
        <w:rPr>
          <w:rFonts w:ascii="Times New Roman" w:hAnsi="Times New Roman"/>
          <w:b/>
          <w:caps/>
          <w:sz w:val="24"/>
          <w:szCs w:val="24"/>
          <w:lang w:val="fr-FR"/>
        </w:rPr>
      </w:pPr>
      <w:r>
        <w:rPr>
          <w:rFonts w:ascii="Times New Roman" w:hAnsi="Times New Roman"/>
          <w:b/>
          <w:caps/>
          <w:sz w:val="24"/>
          <w:szCs w:val="24"/>
          <w:lang w:val="fr-FR"/>
        </w:rPr>
        <w:t>Durée du mandat</w:t>
      </w:r>
    </w:p>
    <w:p w14:paraId="48E8F9C5" w14:textId="77777777" w:rsidR="00126DB1" w:rsidRDefault="008C2E57">
      <w:pPr>
        <w:shd w:val="clear" w:color="auto" w:fill="FFFFFF" w:themeFill="background1"/>
        <w:spacing w:after="120"/>
      </w:pPr>
      <w:r>
        <w:t xml:space="preserve">La durée du mandat est </w:t>
      </w:r>
      <w:proofErr w:type="gramStart"/>
      <w:r>
        <w:t>de un</w:t>
      </w:r>
      <w:proofErr w:type="gramEnd"/>
      <w:r>
        <w:t xml:space="preserve"> (01) an. La rupture du contrat peut être décidée par les deux parties.</w:t>
      </w:r>
    </w:p>
    <w:p w14:paraId="6EE3FC90" w14:textId="77777777" w:rsidR="006E0A70" w:rsidRDefault="006E0A70">
      <w:pPr>
        <w:shd w:val="clear" w:color="auto" w:fill="FFFFFF" w:themeFill="background1"/>
        <w:spacing w:after="120"/>
      </w:pPr>
    </w:p>
    <w:p w14:paraId="2CC2CDE3" w14:textId="77777777" w:rsidR="00126DB1" w:rsidRDefault="008C2E57">
      <w:pPr>
        <w:pStyle w:val="Paragraphedeliste"/>
        <w:numPr>
          <w:ilvl w:val="0"/>
          <w:numId w:val="3"/>
        </w:numPr>
        <w:shd w:val="clear" w:color="auto" w:fill="FFFFFF" w:themeFill="background1"/>
        <w:spacing w:after="120" w:line="240" w:lineRule="auto"/>
        <w:ind w:left="0" w:right="567" w:firstLine="0"/>
        <w:jc w:val="both"/>
        <w:rPr>
          <w:rFonts w:ascii="Times New Roman" w:hAnsi="Times New Roman"/>
          <w:b/>
          <w:caps/>
          <w:sz w:val="24"/>
          <w:szCs w:val="24"/>
          <w:lang w:val="fr-FR"/>
        </w:rPr>
      </w:pPr>
      <w:r>
        <w:rPr>
          <w:rFonts w:ascii="Times New Roman" w:hAnsi="Times New Roman"/>
          <w:b/>
          <w:caps/>
          <w:sz w:val="24"/>
          <w:szCs w:val="24"/>
          <w:lang w:val="fr-FR"/>
        </w:rPr>
        <w:t>Services à fournir par le FID :</w:t>
      </w:r>
    </w:p>
    <w:p w14:paraId="486156B4" w14:textId="77777777" w:rsidR="00126DB1" w:rsidRDefault="00126DB1">
      <w:pPr>
        <w:shd w:val="clear" w:color="auto" w:fill="FFFFFF" w:themeFill="background1"/>
        <w:spacing w:after="120"/>
        <w:ind w:right="567"/>
      </w:pPr>
    </w:p>
    <w:p w14:paraId="59481E0B" w14:textId="77777777" w:rsidR="00126DB1" w:rsidRDefault="008C2E57">
      <w:pPr>
        <w:pStyle w:val="Paragraphedeliste"/>
        <w:numPr>
          <w:ilvl w:val="0"/>
          <w:numId w:val="5"/>
        </w:numPr>
        <w:shd w:val="clear" w:color="auto" w:fill="FFFFFF" w:themeFill="background1"/>
        <w:spacing w:after="120" w:line="240" w:lineRule="auto"/>
        <w:ind w:left="567" w:hanging="567"/>
        <w:jc w:val="both"/>
        <w:rPr>
          <w:rFonts w:ascii="Times New Roman" w:hAnsi="Times New Roman"/>
          <w:sz w:val="24"/>
          <w:szCs w:val="24"/>
          <w:lang w:val="fr-FR"/>
        </w:rPr>
      </w:pPr>
      <w:r>
        <w:rPr>
          <w:rFonts w:ascii="Times New Roman" w:hAnsi="Times New Roman"/>
          <w:sz w:val="24"/>
          <w:szCs w:val="24"/>
          <w:lang w:val="fr-FR"/>
        </w:rPr>
        <w:t xml:space="preserve">Le FID s'engage à fournir une carte du </w:t>
      </w:r>
      <w:proofErr w:type="gramStart"/>
      <w:r>
        <w:rPr>
          <w:rFonts w:ascii="Times New Roman" w:hAnsi="Times New Roman"/>
          <w:sz w:val="24"/>
          <w:szCs w:val="24"/>
          <w:lang w:val="fr-FR"/>
        </w:rPr>
        <w:t xml:space="preserve">projet  </w:t>
      </w:r>
      <w:r>
        <w:rPr>
          <w:rFonts w:ascii="Times New Roman" w:eastAsia="Times New Roman" w:hAnsi="Times New Roman"/>
          <w:sz w:val="24"/>
          <w:szCs w:val="24"/>
          <w:lang w:val="fr-FR" w:eastAsia="fr-FR"/>
        </w:rPr>
        <w:t>appelée</w:t>
      </w:r>
      <w:proofErr w:type="gramEnd"/>
      <w:r>
        <w:rPr>
          <w:rFonts w:ascii="Times New Roman" w:eastAsia="Times New Roman" w:hAnsi="Times New Roman"/>
          <w:sz w:val="24"/>
          <w:szCs w:val="24"/>
          <w:lang w:val="fr-FR" w:eastAsia="fr-FR"/>
        </w:rPr>
        <w:t xml:space="preserve"> </w:t>
      </w:r>
      <w:r>
        <w:rPr>
          <w:rFonts w:ascii="Times New Roman" w:hAnsi="Times New Roman"/>
          <w:sz w:val="24"/>
          <w:szCs w:val="24"/>
          <w:lang w:val="fr-FR"/>
        </w:rPr>
        <w:t>« livret du bénéficiaire » comme possible moyen d’identification lors du retrait d'espèces par le bénéficiaire.</w:t>
      </w:r>
    </w:p>
    <w:p w14:paraId="3009468B" w14:textId="77777777" w:rsidR="006E0A70" w:rsidRDefault="006E0A70" w:rsidP="00C451A4">
      <w:pPr>
        <w:pStyle w:val="Paragraphedeliste"/>
        <w:shd w:val="clear" w:color="auto" w:fill="FFFFFF" w:themeFill="background1"/>
        <w:spacing w:after="120" w:line="240" w:lineRule="auto"/>
        <w:ind w:left="567"/>
        <w:jc w:val="both"/>
        <w:rPr>
          <w:rFonts w:ascii="Times New Roman" w:hAnsi="Times New Roman"/>
          <w:sz w:val="24"/>
          <w:szCs w:val="24"/>
          <w:lang w:val="fr-FR"/>
        </w:rPr>
      </w:pPr>
    </w:p>
    <w:p w14:paraId="3EB55FFE" w14:textId="77777777" w:rsidR="00126DB1" w:rsidRDefault="00126DB1">
      <w:pPr>
        <w:pStyle w:val="Paragraphedeliste"/>
        <w:shd w:val="clear" w:color="auto" w:fill="FFFFFF" w:themeFill="background1"/>
        <w:spacing w:after="120" w:line="240" w:lineRule="auto"/>
        <w:ind w:left="567" w:right="567" w:hanging="567"/>
        <w:jc w:val="both"/>
        <w:rPr>
          <w:rFonts w:ascii="Times New Roman" w:hAnsi="Times New Roman"/>
          <w:sz w:val="24"/>
          <w:szCs w:val="24"/>
          <w:highlight w:val="yellow"/>
          <w:lang w:val="fr-FR"/>
        </w:rPr>
      </w:pPr>
    </w:p>
    <w:p w14:paraId="3D68F8F7" w14:textId="77777777" w:rsidR="00126DB1" w:rsidRDefault="008C2E57">
      <w:pPr>
        <w:pStyle w:val="Paragraphedeliste"/>
        <w:numPr>
          <w:ilvl w:val="0"/>
          <w:numId w:val="3"/>
        </w:numPr>
        <w:shd w:val="clear" w:color="auto" w:fill="FFFFFF" w:themeFill="background1"/>
        <w:spacing w:after="120" w:line="240" w:lineRule="auto"/>
        <w:ind w:left="0" w:right="567" w:firstLine="0"/>
        <w:jc w:val="both"/>
        <w:rPr>
          <w:rFonts w:ascii="Times New Roman" w:hAnsi="Times New Roman"/>
          <w:b/>
          <w:caps/>
          <w:sz w:val="24"/>
          <w:szCs w:val="24"/>
          <w:lang w:val="fr-FR"/>
        </w:rPr>
      </w:pPr>
      <w:r>
        <w:rPr>
          <w:rFonts w:ascii="Times New Roman" w:hAnsi="Times New Roman"/>
          <w:b/>
          <w:caps/>
          <w:sz w:val="24"/>
          <w:szCs w:val="24"/>
          <w:lang w:val="fr-FR"/>
        </w:rPr>
        <w:t>Qualifications MINIMALES :</w:t>
      </w:r>
    </w:p>
    <w:p w14:paraId="7F23EDA0" w14:textId="77777777" w:rsidR="00126DB1" w:rsidRDefault="00126DB1">
      <w:pPr>
        <w:pStyle w:val="Paragraphedeliste"/>
        <w:shd w:val="clear" w:color="auto" w:fill="FFFFFF" w:themeFill="background1"/>
        <w:spacing w:after="120" w:line="240" w:lineRule="auto"/>
        <w:ind w:left="0" w:right="567"/>
        <w:jc w:val="both"/>
        <w:rPr>
          <w:rFonts w:ascii="Times New Roman" w:hAnsi="Times New Roman"/>
          <w:b/>
          <w:caps/>
          <w:sz w:val="24"/>
          <w:szCs w:val="24"/>
          <w:lang w:val="fr-FR"/>
        </w:rPr>
      </w:pPr>
    </w:p>
    <w:p w14:paraId="2060016C" w14:textId="77777777" w:rsidR="00126DB1" w:rsidRDefault="008C2E57">
      <w:pPr>
        <w:pStyle w:val="Paragraphedeliste"/>
        <w:shd w:val="clear" w:color="auto" w:fill="FFFFFF" w:themeFill="background1"/>
        <w:spacing w:after="120" w:line="240" w:lineRule="auto"/>
        <w:ind w:left="0" w:right="567"/>
        <w:jc w:val="both"/>
        <w:rPr>
          <w:rFonts w:ascii="Times New Roman" w:hAnsi="Times New Roman"/>
          <w:sz w:val="24"/>
          <w:szCs w:val="24"/>
          <w:lang w:val="fr-FR"/>
        </w:rPr>
      </w:pPr>
      <w:r>
        <w:rPr>
          <w:rFonts w:ascii="Times New Roman" w:hAnsi="Times New Roman"/>
          <w:sz w:val="24"/>
          <w:szCs w:val="24"/>
          <w:lang w:val="fr-FR"/>
        </w:rPr>
        <w:t>Les qualifications minimales requises sont présentées dans le tableau ci-dessous :</w:t>
      </w:r>
    </w:p>
    <w:p w14:paraId="1E234E19" w14:textId="77777777" w:rsidR="00126DB1" w:rsidRDefault="008C2E57">
      <w:pPr>
        <w:pStyle w:val="Paragraphedeliste"/>
        <w:shd w:val="clear" w:color="auto" w:fill="FFFFFF" w:themeFill="background1"/>
        <w:spacing w:after="120" w:line="240" w:lineRule="auto"/>
        <w:ind w:left="0" w:right="567"/>
        <w:jc w:val="both"/>
        <w:rPr>
          <w:rFonts w:ascii="Times New Roman" w:hAnsi="Times New Roman"/>
          <w:sz w:val="24"/>
          <w:szCs w:val="24"/>
          <w:lang w:val="fr-FR"/>
        </w:rPr>
      </w:pPr>
      <w:r>
        <w:rPr>
          <w:rFonts w:ascii="Times New Roman" w:hAnsi="Times New Roman"/>
          <w:sz w:val="24"/>
          <w:szCs w:val="24"/>
          <w:lang w:val="fr-FR"/>
        </w:rPr>
        <w:t>- AGEX présélectionnée au FID et ayant au moins 3 marchés similaires (paiement des bénéficiaires) pendant les 3 dernières années en tant qu'AGEX avec les références pour ces marchés.</w:t>
      </w:r>
    </w:p>
    <w:p w14:paraId="4B77E1F5" w14:textId="77777777" w:rsidR="00126DB1" w:rsidRDefault="008C2E57">
      <w:pPr>
        <w:pStyle w:val="Paragraphedeliste"/>
        <w:shd w:val="clear" w:color="auto" w:fill="FFFFFF" w:themeFill="background1"/>
        <w:spacing w:after="120" w:line="240" w:lineRule="auto"/>
        <w:ind w:left="0" w:right="567"/>
        <w:jc w:val="both"/>
        <w:rPr>
          <w:rFonts w:ascii="Times New Roman" w:hAnsi="Times New Roman"/>
          <w:sz w:val="24"/>
          <w:szCs w:val="24"/>
          <w:lang w:val="fr-FR"/>
        </w:rPr>
      </w:pPr>
      <w:r>
        <w:rPr>
          <w:rFonts w:ascii="Times New Roman" w:hAnsi="Times New Roman"/>
          <w:sz w:val="24"/>
          <w:szCs w:val="24"/>
          <w:lang w:val="fr-FR"/>
        </w:rPr>
        <w:t>- Ayant au moins le personnel clé suivant :</w:t>
      </w:r>
    </w:p>
    <w:p w14:paraId="51245BC7" w14:textId="77777777" w:rsidR="00126DB1" w:rsidRDefault="00126DB1">
      <w:pPr>
        <w:pStyle w:val="Paragraphedeliste"/>
        <w:shd w:val="clear" w:color="auto" w:fill="FFFFFF" w:themeFill="background1"/>
        <w:spacing w:after="120" w:line="240" w:lineRule="auto"/>
        <w:ind w:left="0" w:right="567"/>
        <w:jc w:val="both"/>
        <w:rPr>
          <w:rFonts w:ascii="Times New Roman" w:hAnsi="Times New Roman"/>
          <w:sz w:val="24"/>
          <w:szCs w:val="24"/>
          <w:lang w:val="fr-FR"/>
        </w:rPr>
      </w:pPr>
    </w:p>
    <w:tbl>
      <w:tblPr>
        <w:tblW w:w="9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3028"/>
        <w:gridCol w:w="6179"/>
      </w:tblGrid>
      <w:tr w:rsidR="00126DB1" w14:paraId="772DC69B" w14:textId="77777777">
        <w:trPr>
          <w:trHeight w:val="131"/>
        </w:trPr>
        <w:tc>
          <w:tcPr>
            <w:tcW w:w="30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E1D115" w14:textId="77777777" w:rsidR="00126DB1" w:rsidRDefault="008C2E57">
            <w:pPr>
              <w:rPr>
                <w:b/>
                <w:bCs/>
                <w:color w:val="000000"/>
              </w:rPr>
            </w:pPr>
            <w:r>
              <w:rPr>
                <w:b/>
                <w:bCs/>
                <w:color w:val="000000"/>
              </w:rPr>
              <w:t>Poste</w:t>
            </w:r>
          </w:p>
        </w:tc>
        <w:tc>
          <w:tcPr>
            <w:tcW w:w="6178" w:type="dxa"/>
            <w:tcBorders>
              <w:top w:val="single" w:sz="4" w:space="0" w:color="000000"/>
              <w:bottom w:val="single" w:sz="4" w:space="0" w:color="000000"/>
              <w:right w:val="single" w:sz="4" w:space="0" w:color="000000"/>
            </w:tcBorders>
            <w:shd w:val="clear" w:color="auto" w:fill="auto"/>
            <w:vAlign w:val="bottom"/>
          </w:tcPr>
          <w:p w14:paraId="441F1322" w14:textId="77777777" w:rsidR="00126DB1" w:rsidRDefault="008C2E57">
            <w:pPr>
              <w:rPr>
                <w:b/>
                <w:bCs/>
                <w:color w:val="000000"/>
              </w:rPr>
            </w:pPr>
            <w:r>
              <w:rPr>
                <w:b/>
                <w:bCs/>
                <w:color w:val="000000"/>
              </w:rPr>
              <w:t>Qualification minimales</w:t>
            </w:r>
          </w:p>
        </w:tc>
      </w:tr>
      <w:tr w:rsidR="00126DB1" w14:paraId="193BCF04" w14:textId="77777777">
        <w:trPr>
          <w:trHeight w:val="131"/>
        </w:trPr>
        <w:tc>
          <w:tcPr>
            <w:tcW w:w="3028" w:type="dxa"/>
            <w:tcBorders>
              <w:left w:val="single" w:sz="4" w:space="0" w:color="000000"/>
              <w:bottom w:val="single" w:sz="4" w:space="0" w:color="000000"/>
              <w:right w:val="single" w:sz="4" w:space="0" w:color="000000"/>
            </w:tcBorders>
            <w:shd w:val="clear" w:color="auto" w:fill="auto"/>
            <w:vAlign w:val="bottom"/>
          </w:tcPr>
          <w:p w14:paraId="32291E8C" w14:textId="77777777" w:rsidR="00126DB1" w:rsidRDefault="008C2E57">
            <w:pPr>
              <w:rPr>
                <w:color w:val="000000"/>
              </w:rPr>
            </w:pPr>
            <w:r>
              <w:rPr>
                <w:color w:val="000000"/>
              </w:rPr>
              <w:t>Chef de mission</w:t>
            </w:r>
          </w:p>
        </w:tc>
        <w:tc>
          <w:tcPr>
            <w:tcW w:w="6178" w:type="dxa"/>
            <w:tcBorders>
              <w:bottom w:val="single" w:sz="4" w:space="0" w:color="000000"/>
              <w:right w:val="single" w:sz="4" w:space="0" w:color="000000"/>
            </w:tcBorders>
            <w:shd w:val="clear" w:color="auto" w:fill="auto"/>
            <w:vAlign w:val="bottom"/>
          </w:tcPr>
          <w:p w14:paraId="6E85AC9C" w14:textId="77777777" w:rsidR="00126DB1" w:rsidRDefault="008C2E57">
            <w:pPr>
              <w:rPr>
                <w:color w:val="000000"/>
              </w:rPr>
            </w:pPr>
            <w:r>
              <w:rPr>
                <w:color w:val="000000"/>
              </w:rPr>
              <w:t>Expériences en conduite d'association et en gestion de contrat</w:t>
            </w:r>
          </w:p>
        </w:tc>
      </w:tr>
      <w:tr w:rsidR="00126DB1" w14:paraId="1FEE6A3F" w14:textId="77777777">
        <w:trPr>
          <w:trHeight w:val="528"/>
        </w:trPr>
        <w:tc>
          <w:tcPr>
            <w:tcW w:w="3028" w:type="dxa"/>
            <w:tcBorders>
              <w:left w:val="single" w:sz="4" w:space="0" w:color="000000"/>
              <w:bottom w:val="single" w:sz="4" w:space="0" w:color="000000"/>
              <w:right w:val="single" w:sz="4" w:space="0" w:color="000000"/>
            </w:tcBorders>
            <w:shd w:val="clear" w:color="auto" w:fill="auto"/>
            <w:vAlign w:val="center"/>
          </w:tcPr>
          <w:p w14:paraId="26818720" w14:textId="77777777" w:rsidR="00126DB1" w:rsidRDefault="008C2E57">
            <w:r>
              <w:rPr>
                <w:color w:val="000000"/>
              </w:rPr>
              <w:t>Caissier</w:t>
            </w:r>
          </w:p>
        </w:tc>
        <w:tc>
          <w:tcPr>
            <w:tcW w:w="6178" w:type="dxa"/>
            <w:tcBorders>
              <w:bottom w:val="single" w:sz="4" w:space="0" w:color="000000"/>
              <w:right w:val="single" w:sz="4" w:space="0" w:color="000000"/>
            </w:tcBorders>
            <w:shd w:val="clear" w:color="auto" w:fill="auto"/>
            <w:vAlign w:val="bottom"/>
          </w:tcPr>
          <w:p w14:paraId="522992B7" w14:textId="77777777" w:rsidR="00126DB1" w:rsidRDefault="008C2E57">
            <w:pPr>
              <w:rPr>
                <w:color w:val="000000"/>
              </w:rPr>
            </w:pPr>
            <w:proofErr w:type="gramStart"/>
            <w:r>
              <w:rPr>
                <w:color w:val="000000"/>
              </w:rPr>
              <w:t>Bac  avec</w:t>
            </w:r>
            <w:proofErr w:type="gramEnd"/>
            <w:r>
              <w:rPr>
                <w:color w:val="000000"/>
              </w:rPr>
              <w:t xml:space="preserve"> expérience en mobilisation sociale et communication </w:t>
            </w:r>
          </w:p>
        </w:tc>
      </w:tr>
    </w:tbl>
    <w:p w14:paraId="186EBEB8" w14:textId="77777777" w:rsidR="00126DB1" w:rsidRDefault="00126DB1">
      <w:pPr>
        <w:pStyle w:val="Paragraphedeliste"/>
        <w:shd w:val="clear" w:color="auto" w:fill="FFFFFF" w:themeFill="background1"/>
        <w:spacing w:after="120" w:line="240" w:lineRule="auto"/>
        <w:ind w:left="0" w:right="567"/>
        <w:jc w:val="both"/>
        <w:rPr>
          <w:rFonts w:ascii="Times New Roman" w:hAnsi="Times New Roman"/>
          <w:sz w:val="24"/>
          <w:szCs w:val="24"/>
          <w:lang w:val="fr-FR"/>
        </w:rPr>
      </w:pPr>
    </w:p>
    <w:p w14:paraId="348E09A1" w14:textId="527B13BB" w:rsidR="00126DB1" w:rsidRDefault="008C2E57" w:rsidP="00C451A4">
      <w:pPr>
        <w:pStyle w:val="Paragraphedeliste"/>
        <w:shd w:val="clear" w:color="auto" w:fill="FFFFFF" w:themeFill="background1"/>
        <w:spacing w:after="120" w:line="240" w:lineRule="auto"/>
        <w:ind w:left="0" w:right="567"/>
        <w:jc w:val="both"/>
      </w:pPr>
      <w:r>
        <w:rPr>
          <w:rFonts w:ascii="Times New Roman" w:hAnsi="Times New Roman"/>
          <w:sz w:val="24"/>
          <w:szCs w:val="24"/>
          <w:lang w:val="fr-FR"/>
        </w:rPr>
        <w:t xml:space="preserve"> Il est à noter que l’AGEX doit présenter les CV datés et signés des personnes proposées. Les références de personnes proposées sont aussi à fournir.</w:t>
      </w:r>
    </w:p>
    <w:sectPr w:rsidR="00126DB1">
      <w:footerReference w:type="default" r:id="rId8"/>
      <w:pgSz w:w="11906" w:h="16838"/>
      <w:pgMar w:top="567" w:right="424" w:bottom="1417" w:left="567"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FE489" w14:textId="77777777" w:rsidR="008D64E6" w:rsidRDefault="008D64E6">
      <w:r>
        <w:separator/>
      </w:r>
    </w:p>
  </w:endnote>
  <w:endnote w:type="continuationSeparator" w:id="0">
    <w:p w14:paraId="059CE976" w14:textId="77777777" w:rsidR="008D64E6" w:rsidRDefault="008D6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auto"/>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CC25E" w14:textId="77777777" w:rsidR="00126DB1" w:rsidRDefault="008C2E57">
    <w:pPr>
      <w:pStyle w:val="Pieddepage"/>
    </w:pPr>
    <w:r>
      <w:rPr>
        <w:noProof/>
      </w:rPr>
      <mc:AlternateContent>
        <mc:Choice Requires="wps">
          <w:drawing>
            <wp:anchor distT="0" distB="0" distL="114300" distR="114300" simplePos="0" relativeHeight="9" behindDoc="1" locked="0" layoutInCell="1" allowOverlap="1" wp14:anchorId="63E24FF4" wp14:editId="7C222BB6">
              <wp:simplePos x="0" y="0"/>
              <wp:positionH relativeFrom="rightMargin">
                <wp:align>left</wp:align>
              </wp:positionH>
              <wp:positionV relativeFrom="page">
                <wp:posOffset>9855200</wp:posOffset>
              </wp:positionV>
              <wp:extent cx="368935" cy="274955"/>
              <wp:effectExtent l="0" t="0" r="12700" b="11430"/>
              <wp:wrapNone/>
              <wp:docPr id="1" name="AutoShape 1"/>
              <wp:cNvGraphicFramePr/>
              <a:graphic xmlns:a="http://schemas.openxmlformats.org/drawingml/2006/main">
                <a:graphicData uri="http://schemas.microsoft.com/office/word/2010/wordprocessingShape">
                  <wps:wsp>
                    <wps:cNvSpPr/>
                    <wps:spPr>
                      <a:xfrm>
                        <a:off x="0" y="0"/>
                        <a:ext cx="368280" cy="274320"/>
                      </a:xfrm>
                      <a:prstGeom prst="foldedCorner">
                        <a:avLst>
                          <a:gd name="adj" fmla="val 34560"/>
                        </a:avLst>
                      </a:prstGeom>
                      <a:solidFill>
                        <a:srgbClr val="FFFFFF"/>
                      </a:solidFill>
                      <a:ln w="3240">
                        <a:solidFill>
                          <a:schemeClr val="tx1">
                            <a:lumMod val="50000"/>
                            <a:lumOff val="50000"/>
                          </a:schemeClr>
                        </a:solidFill>
                        <a:round/>
                      </a:ln>
                    </wps:spPr>
                    <wps:style>
                      <a:lnRef idx="0">
                        <a:scrgbClr r="0" g="0" b="0"/>
                      </a:lnRef>
                      <a:fillRef idx="0">
                        <a:scrgbClr r="0" g="0" b="0"/>
                      </a:fillRef>
                      <a:effectRef idx="0">
                        <a:scrgbClr r="0" g="0" b="0"/>
                      </a:effectRef>
                      <a:fontRef idx="minor"/>
                    </wps:style>
                    <wps:txbx>
                      <w:txbxContent>
                        <w:sdt>
                          <w:sdtPr>
                            <w:id w:val="1248528138"/>
                            <w:docPartObj>
                              <w:docPartGallery w:val="Page Numbers (Bottom of Page)"/>
                              <w:docPartUnique/>
                            </w:docPartObj>
                          </w:sdtPr>
                          <w:sdtEndPr/>
                          <w:sdtContent>
                            <w:p w14:paraId="45F3F0C9" w14:textId="77777777" w:rsidR="00126DB1" w:rsidRDefault="008C2E57">
                              <w:pPr>
                                <w:pStyle w:val="Contenudecadre"/>
                                <w:jc w:val="center"/>
                              </w:pPr>
                              <w:r>
                                <w:rPr>
                                  <w:sz w:val="16"/>
                                  <w:szCs w:val="16"/>
                                </w:rPr>
                                <w:fldChar w:fldCharType="begin"/>
                              </w:r>
                              <w:r>
                                <w:rPr>
                                  <w:sz w:val="16"/>
                                  <w:szCs w:val="16"/>
                                </w:rPr>
                                <w:instrText>PAGE</w:instrText>
                              </w:r>
                              <w:r>
                                <w:rPr>
                                  <w:sz w:val="16"/>
                                  <w:szCs w:val="16"/>
                                </w:rPr>
                                <w:fldChar w:fldCharType="separate"/>
                              </w:r>
                              <w:r w:rsidR="00C67463">
                                <w:rPr>
                                  <w:noProof/>
                                  <w:sz w:val="16"/>
                                  <w:szCs w:val="16"/>
                                </w:rPr>
                                <w:t>7</w:t>
                              </w:r>
                              <w:r>
                                <w:rPr>
                                  <w:sz w:val="16"/>
                                  <w:szCs w:val="16"/>
                                </w:rPr>
                                <w:fldChar w:fldCharType="end"/>
                              </w:r>
                            </w:p>
                          </w:sdtContent>
                        </w:sdt>
                      </w:txbxContent>
                    </wps:txbx>
                    <wps:bodyPr>
                      <a:noAutofit/>
                    </wps:bodyPr>
                  </wps:wsp>
                </a:graphicData>
              </a:graphic>
            </wp:anchor>
          </w:drawing>
        </mc:Choice>
        <mc:Fallback>
          <w:pict>
            <v:shapetype w14:anchorId="63E24FF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left:0;text-align:left;margin-left:0;margin-top:776pt;width:29.05pt;height:21.65pt;z-index:-503316471;visibility:visible;mso-wrap-style:square;mso-wrap-distance-left:9pt;mso-wrap-distance-top:0;mso-wrap-distance-right:9pt;mso-wrap-distance-bottom:0;mso-position-horizontal:left;mso-position-horizontal-relative:right-margin-area;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" adj="14135" strokecolor="gray [1629]" strokeweight=".09mm">
              <v:textbox>
                <w:txbxContent>
                  <w:sdt>
                    <w:sdtPr>
                      <w:id w:val="1248528138"/>
                      <w:docPartObj>
                        <w:docPartGallery w:val="Page Numbers (Bottom of Page)"/>
                        <w:docPartUnique/>
                      </w:docPartObj>
                    </w:sdtPr>
                    <w:sdtEndPr/>
                    <w:sdtContent>
                      <w:p w14:paraId="45F3F0C9" w14:textId="77777777" w:rsidR="00126DB1" w:rsidRDefault="008C2E57">
                        <w:pPr>
                          <w:pStyle w:val="Contenudecadre"/>
                          <w:jc w:val="center"/>
                        </w:pPr>
                        <w:r>
                          <w:rPr>
                            <w:sz w:val="16"/>
                            <w:szCs w:val="16"/>
                          </w:rPr>
                          <w:fldChar w:fldCharType="begin"/>
                        </w:r>
                        <w:r>
                          <w:rPr>
                            <w:sz w:val="16"/>
                            <w:szCs w:val="16"/>
                          </w:rPr>
                          <w:instrText>PAGE</w:instrText>
                        </w:r>
                        <w:r>
                          <w:rPr>
                            <w:sz w:val="16"/>
                            <w:szCs w:val="16"/>
                          </w:rPr>
                          <w:fldChar w:fldCharType="separate"/>
                        </w:r>
                        <w:r w:rsidR="00C67463">
                          <w:rPr>
                            <w:noProof/>
                            <w:sz w:val="16"/>
                            <w:szCs w:val="16"/>
                          </w:rPr>
                          <w:t>7</w:t>
                        </w:r>
                        <w:r>
                          <w:rPr>
                            <w:sz w:val="16"/>
                            <w:szCs w:val="16"/>
                          </w:rPr>
                          <w:fldChar w:fldCharType="end"/>
                        </w:r>
                      </w:p>
                    </w:sdtContent>
                  </w:sdt>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97B2F" w14:textId="77777777" w:rsidR="008D64E6" w:rsidRDefault="008D64E6">
      <w:r>
        <w:separator/>
      </w:r>
    </w:p>
  </w:footnote>
  <w:footnote w:type="continuationSeparator" w:id="0">
    <w:p w14:paraId="66DD637C" w14:textId="77777777" w:rsidR="008D64E6" w:rsidRDefault="008D6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D3924"/>
    <w:multiLevelType w:val="multilevel"/>
    <w:tmpl w:val="BF06CFCC"/>
    <w:lvl w:ilvl="0">
      <w:start w:val="4"/>
      <w:numFmt w:val="decimal"/>
      <w:lvlText w:val="%1"/>
      <w:lvlJc w:val="left"/>
      <w:pPr>
        <w:ind w:left="360" w:hanging="360"/>
      </w:pPr>
    </w:lvl>
    <w:lvl w:ilvl="1">
      <w:start w:val="4"/>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 w15:restartNumberingAfterBreak="0">
    <w:nsid w:val="075461B0"/>
    <w:multiLevelType w:val="multilevel"/>
    <w:tmpl w:val="B85C2BFE"/>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1B5E1093"/>
    <w:multiLevelType w:val="multilevel"/>
    <w:tmpl w:val="2F9E17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8DB1406"/>
    <w:multiLevelType w:val="multilevel"/>
    <w:tmpl w:val="AA4A60E0"/>
    <w:lvl w:ilvl="0">
      <w:start w:val="1"/>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E871B34"/>
    <w:multiLevelType w:val="multilevel"/>
    <w:tmpl w:val="817E1F9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131523B"/>
    <w:multiLevelType w:val="multilevel"/>
    <w:tmpl w:val="C1904AE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9E36DBE"/>
    <w:multiLevelType w:val="multilevel"/>
    <w:tmpl w:val="D462672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C070E51"/>
    <w:multiLevelType w:val="multilevel"/>
    <w:tmpl w:val="D94E410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B007E54"/>
    <w:multiLevelType w:val="multilevel"/>
    <w:tmpl w:val="7D3C0DE0"/>
    <w:lvl w:ilvl="0">
      <w:start w:val="1"/>
      <w:numFmt w:val="bullet"/>
      <w:lvlText w:val=""/>
      <w:lvlJc w:val="left"/>
      <w:pPr>
        <w:ind w:left="720" w:hanging="360"/>
      </w:pPr>
      <w:rPr>
        <w:rFonts w:ascii="Wingdings" w:hAnsi="Wingdings" w:cs="Wingdings" w:hint="default"/>
        <w:color w:val="auto"/>
        <w:sz w:val="24"/>
      </w:rPr>
    </w:lvl>
    <w:lvl w:ilvl="1">
      <w:start w:val="1"/>
      <w:numFmt w:val="bullet"/>
      <w:lvlText w:val="o"/>
      <w:lvlJc w:val="left"/>
      <w:pPr>
        <w:ind w:left="1440" w:hanging="360"/>
      </w:pPr>
      <w:rPr>
        <w:rFonts w:ascii="Courier New" w:hAnsi="Courier New" w:cs="Courier New" w:hint="default"/>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13941F3"/>
    <w:multiLevelType w:val="multilevel"/>
    <w:tmpl w:val="B6BA840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2F9575C"/>
    <w:multiLevelType w:val="multilevel"/>
    <w:tmpl w:val="5020333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1C51703"/>
    <w:multiLevelType w:val="multilevel"/>
    <w:tmpl w:val="07A6ED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6D5D610C"/>
    <w:multiLevelType w:val="multilevel"/>
    <w:tmpl w:val="9240367A"/>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15:restartNumberingAfterBreak="0">
    <w:nsid w:val="73060956"/>
    <w:multiLevelType w:val="multilevel"/>
    <w:tmpl w:val="BB4CF33C"/>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EE3716"/>
    <w:multiLevelType w:val="multilevel"/>
    <w:tmpl w:val="ED54492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0"/>
  </w:num>
  <w:num w:numId="2">
    <w:abstractNumId w:val="3"/>
  </w:num>
  <w:num w:numId="3">
    <w:abstractNumId w:val="13"/>
  </w:num>
  <w:num w:numId="4">
    <w:abstractNumId w:val="1"/>
  </w:num>
  <w:num w:numId="5">
    <w:abstractNumId w:val="14"/>
  </w:num>
  <w:num w:numId="6">
    <w:abstractNumId w:val="12"/>
  </w:num>
  <w:num w:numId="7">
    <w:abstractNumId w:val="2"/>
  </w:num>
  <w:num w:numId="8">
    <w:abstractNumId w:val="8"/>
  </w:num>
  <w:num w:numId="9">
    <w:abstractNumId w:val="9"/>
  </w:num>
  <w:num w:numId="10">
    <w:abstractNumId w:val="0"/>
  </w:num>
  <w:num w:numId="11">
    <w:abstractNumId w:val="7"/>
  </w:num>
  <w:num w:numId="12">
    <w:abstractNumId w:val="4"/>
  </w:num>
  <w:num w:numId="13">
    <w:abstractNumId w:val="5"/>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DB1"/>
    <w:rsid w:val="00126DB1"/>
    <w:rsid w:val="002C20E9"/>
    <w:rsid w:val="00376417"/>
    <w:rsid w:val="0065579F"/>
    <w:rsid w:val="00681A78"/>
    <w:rsid w:val="006E0A70"/>
    <w:rsid w:val="008C2E57"/>
    <w:rsid w:val="008D64E6"/>
    <w:rsid w:val="00A04256"/>
    <w:rsid w:val="00B154D4"/>
    <w:rsid w:val="00C451A4"/>
    <w:rsid w:val="00C67463"/>
    <w:rsid w:val="00D048ED"/>
    <w:rsid w:val="00E97C2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E4EC7"/>
  <w15:docId w15:val="{14020B52-C198-4529-A320-256C4CDE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DA"/>
    <w:pPr>
      <w:jc w:val="both"/>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basedOn w:val="Policepardfaut"/>
    <w:link w:val="Pieddepage"/>
    <w:uiPriority w:val="99"/>
    <w:qFormat/>
    <w:rsid w:val="000239DA"/>
    <w:rPr>
      <w:rFonts w:ascii="Times New Roman" w:eastAsia="Times New Roman" w:hAnsi="Times New Roman" w:cs="Times New Roman"/>
      <w:sz w:val="24"/>
      <w:szCs w:val="24"/>
      <w:lang w:eastAsia="fr-FR"/>
    </w:rPr>
  </w:style>
  <w:style w:type="character" w:customStyle="1" w:styleId="LgendeCar">
    <w:name w:val="Légende Car"/>
    <w:link w:val="Lgende"/>
    <w:uiPriority w:val="35"/>
    <w:qFormat/>
    <w:locked/>
    <w:rsid w:val="000239DA"/>
    <w:rPr>
      <w:rFonts w:ascii="Garamond" w:eastAsiaTheme="minorEastAsia" w:hAnsi="Garamond"/>
      <w:b/>
      <w:bCs/>
      <w:color w:val="000000" w:themeColor="text1"/>
      <w:spacing w:val="-15"/>
      <w:kern w:val="2"/>
      <w:sz w:val="24"/>
      <w:szCs w:val="24"/>
      <w:lang w:eastAsia="es-ES"/>
    </w:rPr>
  </w:style>
  <w:style w:type="character" w:customStyle="1" w:styleId="ParagraphedelisteCar">
    <w:name w:val="Paragraphe de liste Car"/>
    <w:basedOn w:val="Policepardfaut"/>
    <w:link w:val="Paragraphedeliste"/>
    <w:uiPriority w:val="34"/>
    <w:qFormat/>
    <w:rsid w:val="000239DA"/>
    <w:rPr>
      <w:rFonts w:ascii="Calibri" w:eastAsia="Calibri" w:hAnsi="Calibri" w:cs="Times New Roman"/>
      <w:lang w:val="en-US"/>
    </w:rPr>
  </w:style>
  <w:style w:type="character" w:customStyle="1" w:styleId="En-tteCar">
    <w:name w:val="En-tête Car"/>
    <w:basedOn w:val="Policepardfaut"/>
    <w:uiPriority w:val="99"/>
    <w:qFormat/>
    <w:rsid w:val="00C118AD"/>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qFormat/>
    <w:rsid w:val="006C08B5"/>
    <w:rPr>
      <w:sz w:val="16"/>
      <w:szCs w:val="16"/>
    </w:rPr>
  </w:style>
  <w:style w:type="character" w:customStyle="1" w:styleId="CommentaireCar">
    <w:name w:val="Commentaire Car"/>
    <w:basedOn w:val="Policepardfaut"/>
    <w:link w:val="Commentaire"/>
    <w:uiPriority w:val="99"/>
    <w:semiHidden/>
    <w:qFormat/>
    <w:rsid w:val="006C08B5"/>
    <w:rPr>
      <w:rFonts w:ascii="Times New Roman" w:eastAsia="Times New Roman" w:hAnsi="Times New Roman" w:cs="Times New Roman"/>
      <w:sz w:val="20"/>
      <w:szCs w:val="20"/>
      <w:lang w:eastAsia="fr-FR"/>
    </w:rPr>
  </w:style>
  <w:style w:type="character" w:customStyle="1" w:styleId="ObjetducommentaireCar">
    <w:name w:val="Objet du commentaire Car"/>
    <w:basedOn w:val="CommentaireCar"/>
    <w:link w:val="Objetducommentaire"/>
    <w:uiPriority w:val="99"/>
    <w:semiHidden/>
    <w:qFormat/>
    <w:rsid w:val="006C08B5"/>
    <w:rPr>
      <w:rFonts w:ascii="Times New Roman" w:eastAsia="Times New Roman" w:hAnsi="Times New Roman" w:cs="Times New Roman"/>
      <w:b/>
      <w:bCs/>
      <w:sz w:val="20"/>
      <w:szCs w:val="20"/>
      <w:lang w:eastAsia="fr-FR"/>
    </w:rPr>
  </w:style>
  <w:style w:type="character" w:customStyle="1" w:styleId="TextedebullesCar">
    <w:name w:val="Texte de bulles Car"/>
    <w:basedOn w:val="Policepardfaut"/>
    <w:link w:val="Textedebulles"/>
    <w:uiPriority w:val="99"/>
    <w:semiHidden/>
    <w:qFormat/>
    <w:rsid w:val="006C08B5"/>
    <w:rPr>
      <w:rFonts w:ascii="Segoe UI" w:eastAsia="Times New Roman" w:hAnsi="Segoe UI" w:cs="Segoe UI"/>
      <w:sz w:val="18"/>
      <w:szCs w:val="18"/>
      <w:lang w:eastAsia="fr-FR"/>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imes New Roman" w:eastAsia="Calibri" w:hAnsi="Times New Roman" w:cs="Calibri"/>
      <w:sz w:val="24"/>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ascii="Times New Roman" w:hAnsi="Times New Roman"/>
      <w:color w:val="auto"/>
      <w:sz w:val="24"/>
    </w:rPr>
  </w:style>
  <w:style w:type="character" w:customStyle="1" w:styleId="ListLabel19">
    <w:name w:val="ListLabel 19"/>
    <w:qFormat/>
    <w:rPr>
      <w:rFonts w:ascii="Times New Roman" w:hAnsi="Times New Roman" w:cs="Courier New"/>
      <w:sz w:val="24"/>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76" w:lineRule="auto"/>
    </w:pPr>
  </w:style>
  <w:style w:type="paragraph" w:styleId="Liste">
    <w:name w:val="List"/>
    <w:basedOn w:val="Corpsdetexte"/>
    <w:rPr>
      <w:rFonts w:cs="Mangal"/>
    </w:rPr>
  </w:style>
  <w:style w:type="paragraph" w:styleId="Lgende">
    <w:name w:val="caption"/>
    <w:basedOn w:val="Normal"/>
    <w:next w:val="Normal"/>
    <w:link w:val="LgendeCar"/>
    <w:autoRedefine/>
    <w:uiPriority w:val="35"/>
    <w:unhideWhenUsed/>
    <w:qFormat/>
    <w:rsid w:val="000239DA"/>
    <w:pPr>
      <w:spacing w:after="200"/>
      <w:jc w:val="center"/>
    </w:pPr>
    <w:rPr>
      <w:rFonts w:ascii="Garamond" w:eastAsiaTheme="minorEastAsia" w:hAnsi="Garamond" w:cstheme="minorBidi"/>
      <w:b/>
      <w:bCs/>
      <w:color w:val="000000" w:themeColor="text1"/>
      <w:spacing w:val="-15"/>
      <w:kern w:val="2"/>
      <w:lang w:eastAsia="es-ES"/>
    </w:rPr>
  </w:style>
  <w:style w:type="paragraph" w:customStyle="1" w:styleId="Index">
    <w:name w:val="Index"/>
    <w:basedOn w:val="Normal"/>
    <w:qFormat/>
    <w:pPr>
      <w:suppressLineNumbers/>
    </w:pPr>
    <w:rPr>
      <w:rFonts w:cs="Mangal"/>
    </w:rPr>
  </w:style>
  <w:style w:type="paragraph" w:styleId="Paragraphedeliste">
    <w:name w:val="List Paragraph"/>
    <w:basedOn w:val="Normal"/>
    <w:link w:val="ParagraphedelisteCar"/>
    <w:uiPriority w:val="34"/>
    <w:qFormat/>
    <w:rsid w:val="000239DA"/>
    <w:pPr>
      <w:spacing w:after="200" w:line="276" w:lineRule="auto"/>
      <w:ind w:left="720"/>
      <w:contextualSpacing/>
      <w:jc w:val="left"/>
    </w:pPr>
    <w:rPr>
      <w:rFonts w:ascii="Calibri" w:eastAsia="Calibri" w:hAnsi="Calibri"/>
      <w:sz w:val="22"/>
      <w:szCs w:val="22"/>
      <w:lang w:val="en-US" w:eastAsia="en-US"/>
    </w:rPr>
  </w:style>
  <w:style w:type="paragraph" w:styleId="Pieddepage">
    <w:name w:val="footer"/>
    <w:basedOn w:val="Normal"/>
    <w:link w:val="PieddepageCar"/>
    <w:uiPriority w:val="99"/>
    <w:unhideWhenUsed/>
    <w:rsid w:val="000239DA"/>
    <w:pPr>
      <w:tabs>
        <w:tab w:val="center" w:pos="4536"/>
        <w:tab w:val="right" w:pos="9072"/>
      </w:tabs>
    </w:pPr>
  </w:style>
  <w:style w:type="paragraph" w:styleId="En-tte">
    <w:name w:val="header"/>
    <w:basedOn w:val="Normal"/>
    <w:uiPriority w:val="99"/>
    <w:unhideWhenUsed/>
    <w:rsid w:val="00C118AD"/>
    <w:pPr>
      <w:tabs>
        <w:tab w:val="center" w:pos="4536"/>
        <w:tab w:val="right" w:pos="9072"/>
      </w:tabs>
    </w:pPr>
  </w:style>
  <w:style w:type="paragraph" w:styleId="Commentaire">
    <w:name w:val="annotation text"/>
    <w:basedOn w:val="Normal"/>
    <w:link w:val="CommentaireCar"/>
    <w:uiPriority w:val="99"/>
    <w:semiHidden/>
    <w:unhideWhenUsed/>
    <w:qFormat/>
    <w:rsid w:val="006C08B5"/>
    <w:rPr>
      <w:sz w:val="20"/>
      <w:szCs w:val="20"/>
    </w:rPr>
  </w:style>
  <w:style w:type="paragraph" w:styleId="Objetducommentaire">
    <w:name w:val="annotation subject"/>
    <w:basedOn w:val="Commentaire"/>
    <w:next w:val="Commentaire"/>
    <w:link w:val="ObjetducommentaireCar"/>
    <w:uiPriority w:val="99"/>
    <w:semiHidden/>
    <w:unhideWhenUsed/>
    <w:qFormat/>
    <w:rsid w:val="006C08B5"/>
    <w:rPr>
      <w:b/>
      <w:bCs/>
    </w:rPr>
  </w:style>
  <w:style w:type="paragraph" w:styleId="Textedebulles">
    <w:name w:val="Balloon Text"/>
    <w:basedOn w:val="Normal"/>
    <w:link w:val="TextedebullesCar"/>
    <w:uiPriority w:val="99"/>
    <w:semiHidden/>
    <w:unhideWhenUsed/>
    <w:qFormat/>
    <w:rsid w:val="006C08B5"/>
    <w:rPr>
      <w:rFonts w:ascii="Segoe UI" w:hAnsi="Segoe UI" w:cs="Segoe UI"/>
      <w:sz w:val="18"/>
      <w:szCs w:val="18"/>
    </w:rPr>
  </w:style>
  <w:style w:type="paragraph" w:customStyle="1" w:styleId="Contenudecadre">
    <w:name w:val="Contenu de cadre"/>
    <w:basedOn w:val="Normal"/>
    <w:qFormat/>
  </w:style>
  <w:style w:type="table" w:styleId="Grilledutableau">
    <w:name w:val="Table Grid"/>
    <w:basedOn w:val="TableauNormal"/>
    <w:uiPriority w:val="99"/>
    <w:rsid w:val="000239DA"/>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uiPriority w:val="99"/>
    <w:rsid w:val="001D0909"/>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C67463"/>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D059A-7758-4A41-B76D-9FD70274F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2800</Words>
  <Characters>15400</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dc:creator>
  <dc:description/>
  <cp:lastModifiedBy>User</cp:lastModifiedBy>
  <cp:revision>2</cp:revision>
  <dcterms:created xsi:type="dcterms:W3CDTF">2019-12-09T08:48:00Z</dcterms:created>
  <dcterms:modified xsi:type="dcterms:W3CDTF">2019-12-09T08:48:00Z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