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35" w:rsidRPr="00454CA9" w:rsidRDefault="00C04135" w:rsidP="00C04135">
      <w:pPr>
        <w:tabs>
          <w:tab w:val="left" w:pos="0"/>
          <w:tab w:val="left" w:pos="720"/>
          <w:tab w:val="left" w:pos="1080"/>
        </w:tabs>
        <w:jc w:val="center"/>
        <w:rPr>
          <w:rFonts w:ascii="Cambria" w:hAnsi="Cambria" w:cs="Calibri Light"/>
          <w:b/>
          <w:bCs/>
        </w:rPr>
      </w:pPr>
      <w:r w:rsidRPr="00454CA9">
        <w:rPr>
          <w:rFonts w:ascii="Cambria" w:hAnsi="Cambria" w:cs="Calibri Light"/>
          <w:b/>
          <w:bCs/>
        </w:rPr>
        <w:t>ANNEXE A</w:t>
      </w:r>
    </w:p>
    <w:p w:rsidR="00C04135" w:rsidRPr="00454CA9" w:rsidRDefault="00C04135" w:rsidP="00C04135">
      <w:pPr>
        <w:tabs>
          <w:tab w:val="left" w:pos="0"/>
          <w:tab w:val="left" w:pos="720"/>
          <w:tab w:val="left" w:pos="1080"/>
        </w:tabs>
        <w:jc w:val="both"/>
        <w:rPr>
          <w:rFonts w:ascii="Cambria" w:hAnsi="Cambria" w:cs="Calibri Light"/>
        </w:rPr>
      </w:pPr>
    </w:p>
    <w:p w:rsidR="00C04135" w:rsidRPr="00454CA9" w:rsidRDefault="00C04135" w:rsidP="00C04135">
      <w:pPr>
        <w:tabs>
          <w:tab w:val="left" w:pos="0"/>
        </w:tabs>
        <w:jc w:val="both"/>
        <w:rPr>
          <w:rFonts w:ascii="Cambria" w:hAnsi="Cambria" w:cs="Calibri Light"/>
        </w:rPr>
      </w:pPr>
    </w:p>
    <w:p w:rsidR="00C04135" w:rsidRPr="00454CA9" w:rsidRDefault="00C04135" w:rsidP="00C04135">
      <w:pPr>
        <w:tabs>
          <w:tab w:val="left" w:pos="0"/>
          <w:tab w:val="left" w:pos="720"/>
          <w:tab w:val="left" w:pos="1080"/>
        </w:tabs>
        <w:jc w:val="center"/>
        <w:rPr>
          <w:rFonts w:ascii="Cambria" w:hAnsi="Cambria" w:cs="Calibri Light"/>
          <w:b/>
          <w:bCs/>
        </w:rPr>
      </w:pPr>
      <w:r w:rsidRPr="00454CA9">
        <w:rPr>
          <w:rFonts w:ascii="Cambria" w:hAnsi="Cambria" w:cs="Calibri Light"/>
          <w:b/>
          <w:bCs/>
        </w:rPr>
        <w:t>Termes de références et étendues des services</w:t>
      </w:r>
    </w:p>
    <w:p w:rsidR="00C04135" w:rsidRPr="00454CA9" w:rsidRDefault="00C04135" w:rsidP="00C04135">
      <w:pPr>
        <w:pStyle w:val="Titre"/>
      </w:pPr>
      <w:r w:rsidRPr="00454CA9">
        <w:t>Fiche de poste</w:t>
      </w:r>
    </w:p>
    <w:tbl>
      <w:tblPr>
        <w:tblW w:w="10080" w:type="dxa"/>
        <w:tblInd w:w="-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331"/>
      </w:tblGrid>
      <w:tr w:rsidR="00C04135" w:rsidRPr="00454CA9" w:rsidTr="00387648">
        <w:trPr>
          <w:trHeight w:hRule="exact" w:val="340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C04135" w:rsidRPr="00454CA9" w:rsidRDefault="00C04135" w:rsidP="00387648">
            <w:pPr>
              <w:spacing w:before="60" w:after="60"/>
              <w:rPr>
                <w:b/>
                <w:i/>
                <w:lang w:val="fr-CA"/>
              </w:rPr>
            </w:pPr>
            <w:r w:rsidRPr="00454CA9">
              <w:rPr>
                <w:b/>
                <w:i/>
                <w:lang w:val="fr-CA"/>
              </w:rPr>
              <w:t>1. Identification du poste :</w:t>
            </w:r>
          </w:p>
        </w:tc>
      </w:tr>
      <w:tr w:rsidR="00C04135" w:rsidRPr="00454CA9" w:rsidTr="00387648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:rsidR="00C04135" w:rsidRPr="00454CA9" w:rsidRDefault="00C04135" w:rsidP="00387648">
            <w:pPr>
              <w:spacing w:before="60" w:after="60"/>
              <w:rPr>
                <w:i/>
                <w:lang w:val="fr-CA"/>
              </w:rPr>
            </w:pPr>
            <w:r w:rsidRPr="00454CA9">
              <w:rPr>
                <w:i/>
                <w:lang w:val="fr-CA"/>
              </w:rPr>
              <w:t>Titre du poste :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4135" w:rsidRPr="00454CA9" w:rsidRDefault="00C04135" w:rsidP="00387648">
            <w:pPr>
              <w:spacing w:before="60" w:after="60"/>
              <w:rPr>
                <w:lang w:val="fr-CA"/>
              </w:rPr>
            </w:pPr>
            <w:r w:rsidRPr="00454CA9">
              <w:rPr>
                <w:lang w:val="fr-CA"/>
              </w:rPr>
              <w:t xml:space="preserve">Comptable </w:t>
            </w:r>
          </w:p>
        </w:tc>
      </w:tr>
      <w:tr w:rsidR="00C04135" w:rsidRPr="00454CA9" w:rsidTr="00387648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:rsidR="00C04135" w:rsidRPr="00454CA9" w:rsidRDefault="00C04135" w:rsidP="00387648">
            <w:pPr>
              <w:pStyle w:val="Titre2"/>
              <w:spacing w:after="240"/>
              <w:rPr>
                <w:b w:val="0"/>
              </w:rPr>
            </w:pPr>
            <w:r w:rsidRPr="00454CA9">
              <w:rPr>
                <w:b w:val="0"/>
              </w:rPr>
              <w:t>Direction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4135" w:rsidRPr="00454CA9" w:rsidRDefault="00C04135" w:rsidP="004B3EBF">
            <w:pPr>
              <w:pStyle w:val="Titre2"/>
              <w:spacing w:after="240"/>
              <w:rPr>
                <w:b w:val="0"/>
                <w:i w:val="0"/>
              </w:rPr>
            </w:pPr>
            <w:r w:rsidRPr="00454CA9">
              <w:rPr>
                <w:b w:val="0"/>
                <w:i w:val="0"/>
              </w:rPr>
              <w:t xml:space="preserve">Direction </w:t>
            </w:r>
            <w:r w:rsidR="004B3EBF">
              <w:rPr>
                <w:b w:val="0"/>
                <w:i w:val="0"/>
              </w:rPr>
              <w:t>Générale</w:t>
            </w:r>
            <w:r w:rsidRPr="00454CA9">
              <w:rPr>
                <w:b w:val="0"/>
                <w:i w:val="0"/>
              </w:rPr>
              <w:t xml:space="preserve"> </w:t>
            </w:r>
          </w:p>
        </w:tc>
      </w:tr>
      <w:tr w:rsidR="00C04135" w:rsidRPr="00454CA9" w:rsidTr="00387648">
        <w:trPr>
          <w:trHeight w:hRule="exact" w:val="340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04135" w:rsidRPr="00454CA9" w:rsidRDefault="00C04135" w:rsidP="00387648">
            <w:pPr>
              <w:pStyle w:val="Titre2"/>
              <w:spacing w:after="240"/>
              <w:rPr>
                <w:b w:val="0"/>
              </w:rPr>
            </w:pPr>
            <w:r w:rsidRPr="00454CA9">
              <w:rPr>
                <w:b w:val="0"/>
              </w:rPr>
              <w:t>Superviseur immédiat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04135" w:rsidRPr="00454CA9" w:rsidRDefault="00EA4CD0" w:rsidP="005D3D0E">
            <w:pPr>
              <w:pStyle w:val="Titre2"/>
              <w:spacing w:after="240"/>
              <w:rPr>
                <w:b w:val="0"/>
                <w:bCs/>
                <w:i w:val="0"/>
              </w:rPr>
            </w:pPr>
            <w:r>
              <w:rPr>
                <w:b w:val="0"/>
                <w:bCs/>
                <w:i w:val="0"/>
              </w:rPr>
              <w:t xml:space="preserve">  C</w:t>
            </w:r>
            <w:r w:rsidR="005D3D0E">
              <w:rPr>
                <w:b w:val="0"/>
                <w:bCs/>
                <w:i w:val="0"/>
              </w:rPr>
              <w:t>oordonnateur CERC Réponses aux chocs économiques</w:t>
            </w:r>
          </w:p>
        </w:tc>
      </w:tr>
      <w:tr w:rsidR="00C04135" w:rsidRPr="00454CA9" w:rsidTr="00387648">
        <w:trPr>
          <w:trHeight w:hRule="exact" w:val="380"/>
        </w:trPr>
        <w:tc>
          <w:tcPr>
            <w:tcW w:w="100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04135" w:rsidRPr="00454CA9" w:rsidRDefault="00C04135" w:rsidP="00387648">
            <w:pPr>
              <w:pStyle w:val="Titre2"/>
              <w:spacing w:after="240"/>
            </w:pPr>
            <w:r w:rsidRPr="00454CA9">
              <w:t>2. Sommaire du profil du poste</w:t>
            </w:r>
          </w:p>
        </w:tc>
      </w:tr>
      <w:tr w:rsidR="00C04135" w:rsidRPr="00454CA9" w:rsidTr="00387648">
        <w:trPr>
          <w:trHeight w:val="1342"/>
        </w:trPr>
        <w:tc>
          <w:tcPr>
            <w:tcW w:w="1008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C04135" w:rsidRPr="00454CA9" w:rsidRDefault="00C04135" w:rsidP="00387648">
            <w:r w:rsidRPr="00454CA9">
              <w:t>Placé sous l’autorité hiérarchique du</w:t>
            </w:r>
            <w:r w:rsidR="005D3D0E">
              <w:t xml:space="preserve"> </w:t>
            </w:r>
            <w:r w:rsidR="005D3D0E" w:rsidRPr="005D3D0E">
              <w:t>Coordonnateur CERC Réponses aux chocs économiques</w:t>
            </w:r>
            <w:r w:rsidR="00EA4CD0">
              <w:t xml:space="preserve"> </w:t>
            </w:r>
            <w:r w:rsidR="005D3D0E">
              <w:t xml:space="preserve">et en liaison avec le </w:t>
            </w:r>
            <w:r w:rsidR="00EA4CD0" w:rsidRPr="00EA4CD0">
              <w:t>Chef de Service Administratif et Financier</w:t>
            </w:r>
            <w:r w:rsidRPr="00454CA9">
              <w:t xml:space="preserve">, le titulaire du poste est chargé des traitements et suivis de toutes les écritures de </w:t>
            </w:r>
            <w:hyperlink r:id="rId5" w:history="1">
              <w:r w:rsidRPr="00454CA9">
                <w:t>la comptabilité générale</w:t>
              </w:r>
            </w:hyperlink>
            <w:r w:rsidRPr="00454CA9">
              <w:t xml:space="preserve">. </w:t>
            </w:r>
          </w:p>
          <w:p w:rsidR="00C04135" w:rsidRPr="00454CA9" w:rsidRDefault="00C04135" w:rsidP="00387648">
            <w:r w:rsidRPr="00454CA9">
              <w:t xml:space="preserve">Il procède à l’établissement </w:t>
            </w:r>
            <w:r w:rsidRPr="00D90230">
              <w:t xml:space="preserve">et analyse </w:t>
            </w:r>
            <w:r w:rsidRPr="00454CA9">
              <w:t>périodique des situations comptables avant présentation  au CSAF.</w:t>
            </w:r>
          </w:p>
          <w:p w:rsidR="00C04135" w:rsidRPr="00454CA9" w:rsidRDefault="00C04135" w:rsidP="00387648">
            <w:r w:rsidRPr="00454CA9">
              <w:t xml:space="preserve">Le comptable est tenu de procéder à l’établissement, suivi et justification périodique  des situations comptables notamment les modules Dettes/Créances/Trésorerie. </w:t>
            </w:r>
          </w:p>
          <w:p w:rsidR="00C04135" w:rsidRPr="00454CA9" w:rsidRDefault="00C04135" w:rsidP="00387648">
            <w:r w:rsidRPr="00454CA9">
              <w:t>Le comptable  est un des interlocuteurs directs des auditeurs (interne et externe) pendant les missions d’audit financier et comptable. Il participe activement à la mise en œuvre dans les délais requis des recommandations des auditeurs.</w:t>
            </w:r>
          </w:p>
          <w:p w:rsidR="00C04135" w:rsidRPr="00454CA9" w:rsidRDefault="00C04135" w:rsidP="00387648">
            <w:pPr>
              <w:ind w:left="73"/>
            </w:pPr>
          </w:p>
        </w:tc>
      </w:tr>
      <w:tr w:rsidR="00C04135" w:rsidRPr="00454CA9" w:rsidTr="00387648">
        <w:trPr>
          <w:trHeight w:hRule="exact" w:val="397"/>
        </w:trPr>
        <w:tc>
          <w:tcPr>
            <w:tcW w:w="100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C04135" w:rsidRPr="00454CA9" w:rsidRDefault="00C04135" w:rsidP="00387648">
            <w:pPr>
              <w:pStyle w:val="Titre2"/>
              <w:spacing w:after="240"/>
            </w:pPr>
            <w:r w:rsidRPr="00454CA9">
              <w:t>3. Description spécifique des activités principales</w:t>
            </w:r>
          </w:p>
        </w:tc>
      </w:tr>
      <w:tr w:rsidR="00C04135" w:rsidRPr="00454CA9" w:rsidTr="00387648">
        <w:trPr>
          <w:trHeight w:val="1155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:rsidR="00C04135" w:rsidRPr="00454CA9" w:rsidRDefault="00C04135" w:rsidP="00387648">
            <w:pPr>
              <w:ind w:left="360"/>
            </w:pP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Vérifier les pièces comptables avant leur imputation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Saisir les opérations comptables et présenter les états comptables</w:t>
            </w:r>
            <w:r w:rsidRPr="00454CA9">
              <w:rPr>
                <w:b/>
              </w:rPr>
              <w:t xml:space="preserve"> analysés </w:t>
            </w:r>
            <w:r w:rsidRPr="00454CA9">
              <w:t>pour vérification au CSAF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Procéder à la saisie, suivi des marchés et saisie du budget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Mettre à jour les fiches marchés et de suivi des projets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Justifier les comptes (notamment ceux des tiers)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Effectuer la consolidation avec la Direction Générale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Vérifier les factures et établir les ordres de paiements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Etablir les demandes de réapprovisionnement des comptes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Etablir la situation hebdomadaire du compte bancaire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Etablir les états de rapprochement bancaire périodiques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 xml:space="preserve">Effectuer le classement des pièces comptables ; 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Participer aux activités de renforcement des capacités à l ‘endroit des bénéficiaires et des partenaires ;</w:t>
            </w:r>
          </w:p>
          <w:p w:rsidR="00C04135" w:rsidRPr="00454CA9" w:rsidRDefault="00C04135" w:rsidP="00C04135">
            <w:pPr>
              <w:numPr>
                <w:ilvl w:val="0"/>
                <w:numId w:val="2"/>
              </w:numPr>
              <w:jc w:val="both"/>
            </w:pPr>
            <w:r w:rsidRPr="00454CA9">
              <w:t>Etablir le bon de commande</w:t>
            </w:r>
          </w:p>
          <w:p w:rsidR="00C04135" w:rsidRPr="00454CA9" w:rsidRDefault="00C04135" w:rsidP="00387648"/>
        </w:tc>
      </w:tr>
      <w:tr w:rsidR="00C04135" w:rsidRPr="00454CA9" w:rsidTr="00387648"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spacing w:before="20"/>
            </w:pPr>
            <w:r w:rsidRPr="00454CA9">
              <w:br w:type="page"/>
            </w:r>
          </w:p>
          <w:p w:rsidR="00C04135" w:rsidRPr="00454CA9" w:rsidRDefault="00C04135" w:rsidP="00387648">
            <w:pPr>
              <w:pStyle w:val="Titre1"/>
              <w:spacing w:before="60"/>
              <w:rPr>
                <w:b/>
                <w:szCs w:val="22"/>
              </w:rPr>
            </w:pPr>
            <w:r w:rsidRPr="00454CA9">
              <w:rPr>
                <w:b/>
                <w:szCs w:val="22"/>
              </w:rPr>
              <w:t xml:space="preserve">4.  Profil de l’emploi : </w:t>
            </w:r>
          </w:p>
        </w:tc>
      </w:tr>
      <w:tr w:rsidR="00C04135" w:rsidRPr="00454CA9" w:rsidTr="00387648">
        <w:tc>
          <w:tcPr>
            <w:tcW w:w="10080" w:type="dxa"/>
            <w:gridSpan w:val="3"/>
            <w:tcBorders>
              <w:top w:val="nil"/>
              <w:bottom w:val="nil"/>
            </w:tcBorders>
            <w:vAlign w:val="center"/>
          </w:tcPr>
          <w:p w:rsidR="00C04135" w:rsidRPr="00454CA9" w:rsidRDefault="00C04135" w:rsidP="00387648">
            <w:pPr>
              <w:spacing w:before="60"/>
              <w:rPr>
                <w:i/>
                <w:lang w:val="fr-CA"/>
              </w:rPr>
            </w:pPr>
            <w:r w:rsidRPr="00454CA9">
              <w:rPr>
                <w:i/>
                <w:szCs w:val="22"/>
                <w:lang w:val="fr-CA"/>
              </w:rPr>
              <w:t>Qualifications et expériences minimales requises :</w:t>
            </w:r>
          </w:p>
        </w:tc>
      </w:tr>
      <w:tr w:rsidR="00C04135" w:rsidRPr="00454CA9" w:rsidTr="00387648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4135" w:rsidRPr="00454CA9" w:rsidRDefault="00C04135" w:rsidP="00387648">
            <w:pPr>
              <w:spacing w:before="60"/>
              <w:rPr>
                <w:lang w:val="fr-CA"/>
              </w:rPr>
            </w:pPr>
            <w:r w:rsidRPr="00454CA9">
              <w:rPr>
                <w:lang w:val="fr-CA"/>
              </w:rPr>
              <w:t xml:space="preserve">Éducation et niveau de formation : 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:rsidR="00C04135" w:rsidRPr="00454CA9" w:rsidRDefault="004961E2" w:rsidP="00EA4CD0">
            <w:pPr>
              <w:spacing w:before="60"/>
              <w:rPr>
                <w:lang w:val="fr-CA"/>
              </w:rPr>
            </w:pPr>
            <w:r w:rsidRPr="004961E2">
              <w:t>Maitrise/Master I dans le domaine de Gestion, Finances, Comptabilité</w:t>
            </w:r>
          </w:p>
        </w:tc>
      </w:tr>
      <w:tr w:rsidR="00C04135" w:rsidRPr="00454CA9" w:rsidTr="00387648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4135" w:rsidRPr="00454CA9" w:rsidRDefault="00C04135" w:rsidP="00387648">
            <w:pPr>
              <w:spacing w:before="60"/>
              <w:rPr>
                <w:lang w:val="fr-CA"/>
              </w:rPr>
            </w:pPr>
            <w:r w:rsidRPr="00454CA9">
              <w:rPr>
                <w:lang w:val="fr-CA"/>
              </w:rPr>
              <w:t>Spécialités recherchées: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:rsidR="00C04135" w:rsidRPr="00454CA9" w:rsidRDefault="00C04135" w:rsidP="00387648">
            <w:pPr>
              <w:spacing w:before="60"/>
            </w:pPr>
            <w:r w:rsidRPr="00454CA9">
              <w:t>-  Expériences en comptabilité de projet</w:t>
            </w:r>
          </w:p>
          <w:p w:rsidR="00C04135" w:rsidRPr="00454CA9" w:rsidRDefault="00C04135" w:rsidP="00387648">
            <w:pPr>
              <w:spacing w:before="60"/>
            </w:pPr>
            <w:r w:rsidRPr="00454CA9">
              <w:t>-  Fortes connaissances en systèmes comptables</w:t>
            </w:r>
          </w:p>
          <w:p w:rsidR="00C04135" w:rsidRPr="00454CA9" w:rsidRDefault="00C04135" w:rsidP="00387648">
            <w:pPr>
              <w:spacing w:before="60"/>
            </w:pPr>
            <w:r w:rsidRPr="00454CA9">
              <w:t>- Connaissance en gestion administrative</w:t>
            </w:r>
          </w:p>
          <w:p w:rsidR="00D90230" w:rsidRDefault="00D90230" w:rsidP="00D90230">
            <w:pPr>
              <w:tabs>
                <w:tab w:val="left" w:pos="720"/>
              </w:tabs>
              <w:spacing w:line="0" w:lineRule="atLeast"/>
            </w:pPr>
            <w:r>
              <w:t>-</w:t>
            </w:r>
            <w:r w:rsidR="00C04135" w:rsidRPr="00454CA9">
              <w:t xml:space="preserve"> Connaissance en législations </w:t>
            </w:r>
            <w:r w:rsidR="004B3EBF" w:rsidRPr="00454CA9">
              <w:t>fi</w:t>
            </w:r>
            <w:r w:rsidR="004B3EBF">
              <w:t>s</w:t>
            </w:r>
            <w:r w:rsidR="004B3EBF" w:rsidRPr="00454CA9">
              <w:t>cale</w:t>
            </w:r>
          </w:p>
          <w:p w:rsidR="00C04135" w:rsidRPr="00454CA9" w:rsidRDefault="00D90230" w:rsidP="00D90230">
            <w:pPr>
              <w:tabs>
                <w:tab w:val="left" w:pos="720"/>
              </w:tabs>
              <w:spacing w:line="0" w:lineRule="atLeast"/>
            </w:pPr>
            <w:r>
              <w:t xml:space="preserve">- </w:t>
            </w:r>
            <w:r w:rsidR="0009618A">
              <w:rPr>
                <w:sz w:val="22"/>
              </w:rPr>
              <w:t>C</w:t>
            </w:r>
            <w:r w:rsidRPr="00D90230">
              <w:rPr>
                <w:sz w:val="22"/>
              </w:rPr>
              <w:t xml:space="preserve">onnaissances des logiciels Excel, Word, </w:t>
            </w:r>
            <w:r w:rsidR="0009618A">
              <w:rPr>
                <w:sz w:val="22"/>
              </w:rPr>
              <w:t>et TOM2PRO</w:t>
            </w:r>
          </w:p>
          <w:p w:rsidR="00C04135" w:rsidRPr="00454CA9" w:rsidRDefault="00C04135" w:rsidP="00387648">
            <w:pPr>
              <w:spacing w:before="60"/>
              <w:rPr>
                <w:lang w:val="fr-CA"/>
              </w:rPr>
            </w:pPr>
            <w:bookmarkStart w:id="0" w:name="_GoBack"/>
            <w:bookmarkEnd w:id="0"/>
          </w:p>
        </w:tc>
      </w:tr>
      <w:tr w:rsidR="00C04135" w:rsidRPr="00454CA9" w:rsidTr="00387648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4135" w:rsidRPr="00454CA9" w:rsidRDefault="00C04135" w:rsidP="00387648">
            <w:pPr>
              <w:spacing w:before="60"/>
              <w:rPr>
                <w:lang w:val="fr-CA"/>
              </w:rPr>
            </w:pPr>
            <w:r w:rsidRPr="00454CA9">
              <w:rPr>
                <w:lang w:val="fr-CA"/>
              </w:rPr>
              <w:t>Expérience dans les spécialités recherchées: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:rsidR="0009618A" w:rsidRDefault="0009618A" w:rsidP="0009618A">
            <w:pPr>
              <w:spacing w:before="60"/>
            </w:pPr>
            <w:r>
              <w:t xml:space="preserve">-Au moins 3 ans d’expériences en comptabilité de projet </w:t>
            </w:r>
          </w:p>
          <w:p w:rsidR="00C04135" w:rsidRPr="00454CA9" w:rsidRDefault="0009618A" w:rsidP="008D09B7">
            <w:pPr>
              <w:spacing w:before="60"/>
            </w:pPr>
            <w:r>
              <w:t xml:space="preserve">-Une expérience en Administration </w:t>
            </w:r>
          </w:p>
        </w:tc>
      </w:tr>
      <w:tr w:rsidR="00C04135" w:rsidRPr="00454CA9" w:rsidTr="00387648">
        <w:trPr>
          <w:trHeight w:val="20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04135" w:rsidRPr="00454CA9" w:rsidRDefault="00C04135" w:rsidP="00387648">
            <w:pPr>
              <w:spacing w:before="60" w:after="240"/>
              <w:rPr>
                <w:lang w:val="fr-CA"/>
              </w:rPr>
            </w:pPr>
            <w:r w:rsidRPr="00454CA9">
              <w:rPr>
                <w:lang w:val="fr-CA"/>
              </w:rPr>
              <w:t>Expérience en gestion  du personnel: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04135" w:rsidRPr="00454CA9" w:rsidRDefault="00C04135" w:rsidP="00387648">
            <w:pPr>
              <w:spacing w:before="60" w:after="240"/>
              <w:rPr>
                <w:lang w:val="fr-CA"/>
              </w:rPr>
            </w:pPr>
          </w:p>
        </w:tc>
      </w:tr>
      <w:tr w:rsidR="00C04135" w:rsidRPr="00454CA9" w:rsidTr="00387648"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C04135" w:rsidRPr="00454CA9" w:rsidRDefault="00C04135" w:rsidP="00387648">
            <w:pPr>
              <w:spacing w:before="60" w:after="240"/>
              <w:rPr>
                <w:i/>
                <w:szCs w:val="22"/>
                <w:lang w:val="fr-CA"/>
              </w:rPr>
            </w:pPr>
            <w:r w:rsidRPr="00454CA9">
              <w:rPr>
                <w:i/>
                <w:szCs w:val="22"/>
                <w:lang w:val="fr-CA"/>
              </w:rPr>
              <w:t>Connaissances acquises ou à acquérir</w:t>
            </w:r>
          </w:p>
        </w:tc>
      </w:tr>
      <w:tr w:rsidR="00C04135" w:rsidRPr="00454CA9" w:rsidTr="00387648">
        <w:trPr>
          <w:trHeight w:val="564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 xml:space="preserve">Rapports  d’audit internes et  externes 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Manuels de procédures opérationnels du FID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Manuels de procédures administratives et financières du FID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Manuel comptable du FID</w:t>
            </w:r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jc w:val="both"/>
            </w:pPr>
          </w:p>
        </w:tc>
        <w:tc>
          <w:tcPr>
            <w:tcW w:w="5331" w:type="dxa"/>
            <w:tcBorders>
              <w:top w:val="nil"/>
              <w:left w:val="nil"/>
              <w:bottom w:val="single" w:sz="12" w:space="0" w:color="auto"/>
            </w:tcBorders>
          </w:tcPr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Technique de gestion financière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Technique comptable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Législation fiscale (dont notamment Code Général des Impôts)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Technique budgétaire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Processus d’élaboration du PTA</w:t>
            </w:r>
          </w:p>
          <w:p w:rsidR="00C04135" w:rsidRPr="00454CA9" w:rsidRDefault="00C04135" w:rsidP="00387648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454CA9">
              <w:t>Connaissance des logiciels Excel, Word</w:t>
            </w:r>
            <w:proofErr w:type="gramStart"/>
            <w:r w:rsidRPr="00454CA9">
              <w:t>, ,</w:t>
            </w:r>
            <w:proofErr w:type="gramEnd"/>
            <w:r w:rsidRPr="00454CA9">
              <w:t xml:space="preserve"> </w:t>
            </w:r>
            <w:proofErr w:type="spellStart"/>
            <w:r w:rsidRPr="00454CA9">
              <w:t>Tompro</w:t>
            </w:r>
            <w:proofErr w:type="spellEnd"/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  <w:jc w:val="both"/>
            </w:pPr>
            <w:r w:rsidRPr="00454CA9">
              <w:t>.</w:t>
            </w:r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</w:pPr>
          </w:p>
        </w:tc>
      </w:tr>
      <w:tr w:rsidR="00C04135" w:rsidRPr="00454CA9" w:rsidTr="00387648">
        <w:trPr>
          <w:trHeight w:val="2168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:rsidR="00C04135" w:rsidRPr="00454CA9" w:rsidRDefault="00C04135" w:rsidP="00387648">
            <w:pPr>
              <w:pStyle w:val="Titre2"/>
              <w:jc w:val="left"/>
              <w:rPr>
                <w:b w:val="0"/>
              </w:rPr>
            </w:pPr>
            <w:r w:rsidRPr="00454CA9">
              <w:rPr>
                <w:b w:val="0"/>
              </w:rPr>
              <w:t>Habiletés</w:t>
            </w:r>
          </w:p>
          <w:p w:rsidR="00C04135" w:rsidRPr="00454CA9" w:rsidRDefault="00C04135" w:rsidP="00387648"/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Analyse/synthèse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 xml:space="preserve">Logiciel </w:t>
            </w:r>
            <w:proofErr w:type="spellStart"/>
            <w:r w:rsidRPr="00454CA9">
              <w:rPr>
                <w:lang w:val="fr-CA"/>
              </w:rPr>
              <w:t>Tompro</w:t>
            </w:r>
            <w:proofErr w:type="spellEnd"/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Esprit de contrôle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Esprit d’équipe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Connaissances de la comptabilité</w:t>
            </w:r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</w:pPr>
          </w:p>
        </w:tc>
        <w:tc>
          <w:tcPr>
            <w:tcW w:w="5331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C04135" w:rsidRPr="00454CA9" w:rsidRDefault="00C04135" w:rsidP="00387648">
            <w:pPr>
              <w:pStyle w:val="Titre2"/>
              <w:jc w:val="left"/>
              <w:rPr>
                <w:b w:val="0"/>
              </w:rPr>
            </w:pPr>
            <w:r w:rsidRPr="00454CA9">
              <w:rPr>
                <w:b w:val="0"/>
              </w:rPr>
              <w:t>Attitudes/valeurs</w:t>
            </w:r>
          </w:p>
          <w:p w:rsidR="00C04135" w:rsidRPr="00454CA9" w:rsidRDefault="00C04135" w:rsidP="00387648"/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Efficacité/Efficience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Disponibilité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Rigueur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Ponctualité (respect des échéanciers)</w:t>
            </w:r>
          </w:p>
          <w:p w:rsidR="00C04135" w:rsidRPr="00454CA9" w:rsidRDefault="00C04135" w:rsidP="00387648">
            <w:pPr>
              <w:rPr>
                <w:lang w:val="fr-CA"/>
              </w:rPr>
            </w:pPr>
            <w:r w:rsidRPr="00454CA9">
              <w:rPr>
                <w:lang w:val="fr-CA"/>
              </w:rPr>
              <w:t>Sens des responsabilités</w:t>
            </w:r>
          </w:p>
          <w:p w:rsidR="00C04135" w:rsidRPr="00454CA9" w:rsidRDefault="00C04135" w:rsidP="00387648">
            <w:pPr>
              <w:pStyle w:val="Pucetableau"/>
              <w:numPr>
                <w:ilvl w:val="0"/>
                <w:numId w:val="0"/>
              </w:numPr>
            </w:pPr>
          </w:p>
        </w:tc>
      </w:tr>
    </w:tbl>
    <w:p w:rsidR="00C04135" w:rsidRPr="00454CA9" w:rsidRDefault="00C04135" w:rsidP="00C04135"/>
    <w:p w:rsidR="00C04135" w:rsidRPr="00454CA9" w:rsidRDefault="00C04135" w:rsidP="00C04135"/>
    <w:p w:rsidR="00C04135" w:rsidRPr="00454CA9" w:rsidRDefault="00C04135" w:rsidP="00C04135"/>
    <w:p w:rsidR="00C04135" w:rsidRPr="00454CA9" w:rsidRDefault="00C04135" w:rsidP="00C04135">
      <w:r w:rsidRPr="00454CA9">
        <w:rPr>
          <w:b/>
          <w:i/>
          <w:sz w:val="22"/>
        </w:rPr>
        <w:br w:type="page"/>
      </w:r>
    </w:p>
    <w:p w:rsidR="00C04135" w:rsidRPr="00454CA9" w:rsidRDefault="00C04135" w:rsidP="00C04135">
      <w:pPr>
        <w:rPr>
          <w:rFonts w:ascii="Book Antiqua" w:hAnsi="Book Antiqua" w:cs="Book Antiqua"/>
          <w:color w:val="000000"/>
        </w:rPr>
      </w:pPr>
    </w:p>
    <w:p w:rsidR="00C04135" w:rsidRPr="00454CA9" w:rsidRDefault="00C04135" w:rsidP="00C04135">
      <w:pPr>
        <w:rPr>
          <w:rFonts w:ascii="Book Antiqua" w:hAnsi="Book Antiqua" w:cs="Book Antiqua"/>
          <w:color w:val="000000"/>
        </w:rPr>
      </w:pPr>
    </w:p>
    <w:p w:rsidR="00C04135" w:rsidRPr="00454CA9" w:rsidRDefault="00C04135" w:rsidP="00C04135"/>
    <w:p w:rsidR="00C04135" w:rsidRPr="00454CA9" w:rsidRDefault="00C04135" w:rsidP="00C04135"/>
    <w:p w:rsidR="00C04135" w:rsidRPr="00454CA9" w:rsidRDefault="00C04135" w:rsidP="00C04135">
      <w:pPr>
        <w:tabs>
          <w:tab w:val="left" w:pos="0"/>
          <w:tab w:val="left" w:pos="720"/>
          <w:tab w:val="left" w:pos="1080"/>
        </w:tabs>
        <w:jc w:val="both"/>
        <w:rPr>
          <w:rFonts w:ascii="Cambria" w:hAnsi="Cambria" w:cs="Calibri Light"/>
        </w:rPr>
      </w:pPr>
    </w:p>
    <w:p w:rsidR="006445D2" w:rsidRDefault="006445D2"/>
    <w:p w:rsidR="0074342C" w:rsidRDefault="0074342C"/>
    <w:p w:rsidR="0074342C" w:rsidRDefault="0074342C"/>
    <w:p w:rsidR="0074342C" w:rsidRDefault="0074342C"/>
    <w:p w:rsidR="0074342C" w:rsidRDefault="0074342C"/>
    <w:p w:rsidR="0074342C" w:rsidRDefault="0074342C"/>
    <w:p w:rsidR="0074342C" w:rsidRDefault="0074342C"/>
    <w:p w:rsidR="0074342C" w:rsidRDefault="0074342C"/>
    <w:sectPr w:rsidR="0074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48A63A57"/>
    <w:multiLevelType w:val="hybridMultilevel"/>
    <w:tmpl w:val="56C6435E"/>
    <w:lvl w:ilvl="0" w:tplc="3B768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CDA"/>
    <w:multiLevelType w:val="hybridMultilevel"/>
    <w:tmpl w:val="CA6873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35"/>
    <w:rsid w:val="0009618A"/>
    <w:rsid w:val="004961E2"/>
    <w:rsid w:val="004B3EBF"/>
    <w:rsid w:val="005D3D0E"/>
    <w:rsid w:val="006445D2"/>
    <w:rsid w:val="0074342C"/>
    <w:rsid w:val="008D09B7"/>
    <w:rsid w:val="00C04135"/>
    <w:rsid w:val="00D90230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94BD-0917-4BFE-A0A4-A818172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C04135"/>
    <w:pPr>
      <w:keepNext/>
      <w:spacing w:before="280"/>
      <w:jc w:val="both"/>
      <w:outlineLvl w:val="0"/>
    </w:pPr>
    <w:rPr>
      <w:i/>
      <w:sz w:val="22"/>
      <w:lang w:val="fr-CA"/>
    </w:rPr>
  </w:style>
  <w:style w:type="paragraph" w:styleId="Titre2">
    <w:name w:val="heading 2"/>
    <w:basedOn w:val="Normal"/>
    <w:next w:val="Normal"/>
    <w:link w:val="Titre2Car"/>
    <w:qFormat/>
    <w:rsid w:val="00C04135"/>
    <w:pPr>
      <w:keepNext/>
      <w:spacing w:before="60"/>
      <w:jc w:val="both"/>
      <w:outlineLvl w:val="1"/>
    </w:pPr>
    <w:rPr>
      <w:b/>
      <w:i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C04135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C04135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C04135"/>
    <w:pPr>
      <w:numPr>
        <w:numId w:val="1"/>
      </w:numPr>
    </w:pPr>
    <w:rPr>
      <w:spacing w:val="-3"/>
      <w:sz w:val="22"/>
      <w:lang w:val="fr-CA"/>
    </w:rPr>
  </w:style>
  <w:style w:type="paragraph" w:styleId="Titre">
    <w:name w:val="Title"/>
    <w:basedOn w:val="Normal"/>
    <w:link w:val="TitreCar"/>
    <w:uiPriority w:val="99"/>
    <w:qFormat/>
    <w:rsid w:val="00C04135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uiPriority w:val="99"/>
    <w:rsid w:val="00C04135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D9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compta.org/cours/cours-de-comptabilite-genera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Solofo</cp:lastModifiedBy>
  <cp:revision>8</cp:revision>
  <dcterms:created xsi:type="dcterms:W3CDTF">2021-01-10T15:52:00Z</dcterms:created>
  <dcterms:modified xsi:type="dcterms:W3CDTF">2022-08-26T13:11:00Z</dcterms:modified>
</cp:coreProperties>
</file>